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477" w:lineRule="auto"/>
        <w:rPr>
          <w:rFonts w:ascii="Arial"/>
          <w:sz w:val="21"/>
        </w:rPr>
      </w:pPr>
      <w:r/>
    </w:p>
    <w:p>
      <w:pPr>
        <w:pStyle w:val="BodyText"/>
        <w:ind w:left="26"/>
        <w:spacing w:before="91" w:line="219" w:lineRule="auto"/>
        <w:rPr>
          <w:sz w:val="28"/>
          <w:szCs w:val="28"/>
        </w:rPr>
      </w:pPr>
      <w:r>
        <w:rPr>
          <w:sz w:val="28"/>
          <w:szCs w:val="28"/>
          <w:b/>
          <w:bCs/>
          <w:spacing w:val="-15"/>
        </w:rPr>
        <w:t>附</w:t>
      </w:r>
      <w:r>
        <w:rPr>
          <w:sz w:val="28"/>
          <w:szCs w:val="28"/>
          <w:spacing w:val="-28"/>
        </w:rPr>
        <w:t xml:space="preserve"> </w:t>
      </w:r>
      <w:r>
        <w:rPr>
          <w:sz w:val="28"/>
          <w:szCs w:val="28"/>
          <w:b/>
          <w:bCs/>
          <w:spacing w:val="-15"/>
        </w:rPr>
        <w:t>件</w:t>
      </w:r>
      <w:r>
        <w:rPr>
          <w:sz w:val="28"/>
          <w:szCs w:val="28"/>
          <w:spacing w:val="-15"/>
        </w:rPr>
        <w:t xml:space="preserve"> </w:t>
      </w:r>
      <w:r>
        <w:rPr>
          <w:sz w:val="28"/>
          <w:szCs w:val="28"/>
          <w:b/>
          <w:bCs/>
          <w:spacing w:val="-15"/>
        </w:rPr>
        <w:t>1</w:t>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BodyText"/>
        <w:ind w:left="2819" w:right="2815" w:firstLine="142"/>
        <w:spacing w:before="133" w:line="269" w:lineRule="auto"/>
        <w:outlineLvl w:val="0"/>
        <w:rPr>
          <w:sz w:val="50"/>
          <w:szCs w:val="50"/>
        </w:rPr>
      </w:pPr>
      <w:r>
        <w:rPr>
          <w:rFonts w:ascii="Times New Roman" w:hAnsi="Times New Roman" w:eastAsia="Times New Roman" w:cs="Times New Roman"/>
          <w:sz w:val="41"/>
          <w:szCs w:val="41"/>
          <w:b/>
          <w:bCs/>
          <w:spacing w:val="-3"/>
        </w:rPr>
        <w:t>XX</w:t>
      </w:r>
      <w:r>
        <w:rPr>
          <w:rFonts w:ascii="Times New Roman" w:hAnsi="Times New Roman" w:eastAsia="Times New Roman" w:cs="Times New Roman"/>
          <w:sz w:val="41"/>
          <w:szCs w:val="41"/>
          <w:b/>
          <w:bCs/>
          <w:spacing w:val="-19"/>
        </w:rPr>
        <w:t xml:space="preserve"> </w:t>
      </w:r>
      <w:r>
        <w:rPr>
          <w:sz w:val="41"/>
          <w:szCs w:val="41"/>
          <w:b/>
          <w:bCs/>
          <w:spacing w:val="-3"/>
        </w:rPr>
        <w:t>有限公司</w:t>
      </w:r>
      <w:r>
        <w:rPr>
          <w:rFonts w:ascii="Times New Roman" w:hAnsi="Times New Roman" w:eastAsia="Times New Roman" w:cs="Times New Roman"/>
          <w:sz w:val="41"/>
          <w:szCs w:val="41"/>
          <w:b/>
          <w:bCs/>
          <w:spacing w:val="-3"/>
        </w:rPr>
        <w:t>XX</w:t>
      </w:r>
      <w:r>
        <w:rPr>
          <w:rFonts w:ascii="Times New Roman" w:hAnsi="Times New Roman" w:eastAsia="Times New Roman" w:cs="Times New Roman"/>
          <w:sz w:val="41"/>
          <w:szCs w:val="41"/>
          <w:b/>
          <w:bCs/>
          <w:spacing w:val="-40"/>
        </w:rPr>
        <w:t xml:space="preserve"> </w:t>
      </w:r>
      <w:r>
        <w:rPr>
          <w:sz w:val="41"/>
          <w:szCs w:val="41"/>
          <w:b/>
          <w:bCs/>
          <w:spacing w:val="-3"/>
        </w:rPr>
        <w:t>煤矿</w:t>
      </w:r>
      <w:r>
        <w:rPr>
          <w:sz w:val="41"/>
          <w:szCs w:val="41"/>
          <w:spacing w:val="-3"/>
        </w:rPr>
        <w:t xml:space="preserve"> </w:t>
      </w:r>
      <w:r>
        <w:rPr>
          <w:sz w:val="50"/>
          <w:szCs w:val="50"/>
          <w:b/>
          <w:bCs/>
          <w:spacing w:val="8"/>
        </w:rPr>
        <w:t>矿井防突专项设计</w:t>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pStyle w:val="BodyText"/>
        <w:ind w:left="2662"/>
        <w:spacing w:before="91" w:line="610" w:lineRule="exact"/>
        <w:rPr>
          <w:sz w:val="28"/>
          <w:szCs w:val="28"/>
        </w:rPr>
      </w:pPr>
      <w:r>
        <w:rPr>
          <w:sz w:val="28"/>
          <w:szCs w:val="28"/>
          <w:spacing w:val="-13"/>
          <w:position w:val="25"/>
        </w:rPr>
        <w:t>编制单位：</w:t>
      </w:r>
    </w:p>
    <w:p>
      <w:pPr>
        <w:pStyle w:val="BodyText"/>
        <w:ind w:left="2662"/>
        <w:spacing w:line="219" w:lineRule="auto"/>
        <w:rPr>
          <w:sz w:val="28"/>
          <w:szCs w:val="28"/>
        </w:rPr>
      </w:pPr>
      <w:r>
        <w:rPr>
          <w:sz w:val="28"/>
          <w:szCs w:val="28"/>
          <w:spacing w:val="-10"/>
        </w:rPr>
        <w:t>编</w:t>
      </w:r>
      <w:r>
        <w:rPr>
          <w:sz w:val="28"/>
          <w:szCs w:val="28"/>
          <w:spacing w:val="-29"/>
        </w:rPr>
        <w:t xml:space="preserve"> </w:t>
      </w:r>
      <w:r>
        <w:rPr>
          <w:sz w:val="28"/>
          <w:szCs w:val="28"/>
          <w:spacing w:val="-10"/>
        </w:rPr>
        <w:t>制</w:t>
      </w:r>
      <w:r>
        <w:rPr>
          <w:sz w:val="28"/>
          <w:szCs w:val="28"/>
          <w:spacing w:val="-27"/>
        </w:rPr>
        <w:t xml:space="preserve"> </w:t>
      </w:r>
      <w:r>
        <w:rPr>
          <w:sz w:val="28"/>
          <w:szCs w:val="28"/>
          <w:spacing w:val="-10"/>
        </w:rPr>
        <w:t>人</w:t>
      </w:r>
      <w:r>
        <w:rPr>
          <w:sz w:val="28"/>
          <w:szCs w:val="28"/>
          <w:spacing w:val="-41"/>
        </w:rPr>
        <w:t xml:space="preserve"> </w:t>
      </w:r>
      <w:r>
        <w:rPr>
          <w:sz w:val="28"/>
          <w:szCs w:val="28"/>
          <w:spacing w:val="-10"/>
        </w:rPr>
        <w:t>：</w:t>
      </w:r>
    </w:p>
    <w:p>
      <w:pPr>
        <w:pStyle w:val="BodyText"/>
        <w:ind w:left="2662"/>
        <w:spacing w:before="258" w:line="220" w:lineRule="auto"/>
        <w:rPr>
          <w:sz w:val="28"/>
          <w:szCs w:val="28"/>
        </w:rPr>
      </w:pPr>
      <w:r>
        <w:rPr>
          <w:sz w:val="28"/>
          <w:szCs w:val="28"/>
          <w:spacing w:val="-14"/>
        </w:rPr>
        <w:t>审</w:t>
      </w:r>
      <w:r>
        <w:rPr>
          <w:sz w:val="28"/>
          <w:szCs w:val="28"/>
          <w:spacing w:val="45"/>
        </w:rPr>
        <w:t xml:space="preserve">   </w:t>
      </w:r>
      <w:r>
        <w:rPr>
          <w:sz w:val="28"/>
          <w:szCs w:val="28"/>
          <w:spacing w:val="-14"/>
        </w:rPr>
        <w:t>核：</w:t>
      </w:r>
    </w:p>
    <w:p>
      <w:pPr>
        <w:pStyle w:val="BodyText"/>
        <w:ind w:left="2662"/>
        <w:spacing w:before="266" w:line="219" w:lineRule="auto"/>
        <w:rPr>
          <w:sz w:val="28"/>
          <w:szCs w:val="28"/>
        </w:rPr>
      </w:pPr>
      <w:r>
        <w:rPr>
          <w:sz w:val="28"/>
          <w:szCs w:val="28"/>
          <w:spacing w:val="-11"/>
        </w:rPr>
        <w:t>单位负责人：</w:t>
      </w:r>
    </w:p>
    <w:p>
      <w:pPr>
        <w:pStyle w:val="BodyText"/>
        <w:ind w:left="3942"/>
        <w:spacing w:before="153" w:line="219" w:lineRule="auto"/>
        <w:rPr>
          <w:sz w:val="41"/>
          <w:szCs w:val="41"/>
        </w:rPr>
      </w:pPr>
      <w:r>
        <w:rPr>
          <w:rFonts w:ascii="Times New Roman" w:hAnsi="Times New Roman" w:eastAsia="Times New Roman" w:cs="Times New Roman"/>
          <w:sz w:val="41"/>
          <w:szCs w:val="41"/>
          <w:spacing w:val="-39"/>
          <w:w w:val="94"/>
        </w:rPr>
        <w:t>X</w:t>
      </w:r>
      <w:r>
        <w:rPr>
          <w:rFonts w:ascii="Times New Roman" w:hAnsi="Times New Roman" w:eastAsia="Times New Roman" w:cs="Times New Roman"/>
          <w:sz w:val="41"/>
          <w:szCs w:val="41"/>
          <w:spacing w:val="-44"/>
        </w:rPr>
        <w:t xml:space="preserve"> </w:t>
      </w:r>
      <w:r>
        <w:rPr>
          <w:sz w:val="41"/>
          <w:szCs w:val="41"/>
          <w:spacing w:val="-39"/>
          <w:w w:val="94"/>
        </w:rPr>
        <w:t>年</w:t>
      </w:r>
      <w:r>
        <w:rPr>
          <w:rFonts w:ascii="Times New Roman" w:hAnsi="Times New Roman" w:eastAsia="Times New Roman" w:cs="Times New Roman"/>
          <w:sz w:val="41"/>
          <w:szCs w:val="41"/>
          <w:spacing w:val="-39"/>
          <w:w w:val="94"/>
        </w:rPr>
        <w:t>X</w:t>
      </w:r>
      <w:r>
        <w:rPr>
          <w:rFonts w:ascii="Times New Roman" w:hAnsi="Times New Roman" w:eastAsia="Times New Roman" w:cs="Times New Roman"/>
          <w:sz w:val="41"/>
          <w:szCs w:val="41"/>
          <w:spacing w:val="-46"/>
        </w:rPr>
        <w:t xml:space="preserve"> </w:t>
      </w:r>
      <w:r>
        <w:rPr>
          <w:sz w:val="41"/>
          <w:szCs w:val="41"/>
          <w:spacing w:val="-39"/>
          <w:w w:val="94"/>
        </w:rPr>
        <w:t>月</w:t>
      </w:r>
      <w:r>
        <w:rPr>
          <w:rFonts w:ascii="Times New Roman" w:hAnsi="Times New Roman" w:eastAsia="Times New Roman" w:cs="Times New Roman"/>
          <w:sz w:val="41"/>
          <w:szCs w:val="41"/>
          <w:spacing w:val="-39"/>
          <w:w w:val="94"/>
        </w:rPr>
        <w:t>X</w:t>
      </w:r>
      <w:r>
        <w:rPr>
          <w:sz w:val="41"/>
          <w:szCs w:val="41"/>
          <w:spacing w:val="-39"/>
          <w:w w:val="94"/>
        </w:rPr>
        <w:t>日</w:t>
      </w:r>
    </w:p>
    <w:p>
      <w:pPr>
        <w:spacing w:line="219" w:lineRule="auto"/>
        <w:sectPr>
          <w:headerReference w:type="default" r:id="rId1"/>
          <w:footerReference w:type="default" r:id="rId2"/>
          <w:pgSz w:w="11900" w:h="16940"/>
          <w:pgMar w:top="914" w:right="1080" w:bottom="858" w:left="1077" w:header="724" w:footer="719" w:gutter="0"/>
        </w:sectPr>
        <w:rPr>
          <w:sz w:val="41"/>
          <w:szCs w:val="41"/>
        </w:rPr>
      </w:pPr>
    </w:p>
    <w:p>
      <w:pPr>
        <w:spacing w:line="283" w:lineRule="auto"/>
        <w:rPr>
          <w:rFonts w:ascii="Arial"/>
          <w:sz w:val="21"/>
        </w:rPr>
      </w:pPr>
      <w:r/>
    </w:p>
    <w:p>
      <w:pPr>
        <w:spacing w:line="283" w:lineRule="auto"/>
        <w:rPr>
          <w:rFonts w:ascii="Arial"/>
          <w:sz w:val="21"/>
        </w:rPr>
      </w:pPr>
      <w:r/>
    </w:p>
    <w:p>
      <w:pPr>
        <w:pStyle w:val="BodyText"/>
        <w:ind w:left="4174"/>
        <w:spacing w:before="91" w:line="579" w:lineRule="exact"/>
        <w:rPr>
          <w:sz w:val="28"/>
          <w:szCs w:val="28"/>
        </w:rPr>
      </w:pPr>
      <w:r>
        <w:rPr>
          <w:sz w:val="28"/>
          <w:szCs w:val="28"/>
          <w:spacing w:val="-14"/>
          <w:position w:val="22"/>
        </w:rPr>
        <w:t>会</w:t>
      </w:r>
      <w:r>
        <w:rPr>
          <w:sz w:val="28"/>
          <w:szCs w:val="28"/>
          <w:spacing w:val="88"/>
          <w:position w:val="22"/>
        </w:rPr>
        <w:t xml:space="preserve"> </w:t>
      </w:r>
      <w:r>
        <w:rPr>
          <w:sz w:val="28"/>
          <w:szCs w:val="28"/>
          <w:spacing w:val="-14"/>
          <w:position w:val="22"/>
        </w:rPr>
        <w:t>审</w:t>
      </w:r>
      <w:r>
        <w:rPr>
          <w:sz w:val="28"/>
          <w:szCs w:val="28"/>
          <w:spacing w:val="79"/>
          <w:position w:val="22"/>
        </w:rPr>
        <w:t xml:space="preserve"> </w:t>
      </w:r>
      <w:r>
        <w:rPr>
          <w:sz w:val="28"/>
          <w:szCs w:val="28"/>
          <w:spacing w:val="-14"/>
          <w:position w:val="22"/>
        </w:rPr>
        <w:t>意</w:t>
      </w:r>
      <w:r>
        <w:rPr>
          <w:sz w:val="28"/>
          <w:szCs w:val="28"/>
          <w:spacing w:val="77"/>
          <w:position w:val="22"/>
        </w:rPr>
        <w:t xml:space="preserve"> </w:t>
      </w:r>
      <w:r>
        <w:rPr>
          <w:sz w:val="28"/>
          <w:szCs w:val="28"/>
          <w:spacing w:val="-14"/>
          <w:position w:val="22"/>
        </w:rPr>
        <w:t>见</w:t>
      </w:r>
    </w:p>
    <w:p>
      <w:pPr>
        <w:pStyle w:val="BodyText"/>
        <w:ind w:left="165"/>
        <w:spacing w:line="227" w:lineRule="auto"/>
        <w:rPr>
          <w:sz w:val="28"/>
          <w:szCs w:val="28"/>
        </w:rPr>
      </w:pPr>
      <w:r>
        <w:rPr>
          <w:sz w:val="28"/>
          <w:szCs w:val="28"/>
          <w:spacing w:val="-24"/>
        </w:rPr>
        <w:t>会审时间： </w:t>
      </w:r>
      <w:r>
        <w:rPr>
          <w:sz w:val="28"/>
          <w:szCs w:val="28"/>
          <w:u w:val="single" w:color="auto"/>
          <w:spacing w:val="3"/>
        </w:rPr>
        <w:t xml:space="preserve">     </w:t>
      </w:r>
      <w:r>
        <w:rPr>
          <w:sz w:val="28"/>
          <w:szCs w:val="28"/>
          <w:spacing w:val="-140"/>
        </w:rPr>
        <w:t xml:space="preserve"> </w:t>
      </w:r>
      <w:r>
        <w:rPr>
          <w:sz w:val="28"/>
          <w:szCs w:val="28"/>
          <w:color w:val="162BE5"/>
          <w:spacing w:val="-24"/>
          <w:position w:val="-1"/>
        </w:rPr>
        <w:t>年</w:t>
      </w:r>
      <w:r>
        <w:rPr>
          <w:sz w:val="28"/>
          <w:szCs w:val="28"/>
          <w:u w:val="single" w:color="000000"/>
          <w:color w:val="162BE5"/>
          <w:spacing w:val="17"/>
          <w:position w:val="-1"/>
        </w:rPr>
        <w:t xml:space="preserve">   </w:t>
      </w:r>
      <w:r>
        <w:rPr>
          <w:sz w:val="28"/>
          <w:szCs w:val="28"/>
          <w:spacing w:val="-24"/>
        </w:rPr>
        <w:t>月</w:t>
      </w:r>
      <w:r>
        <w:rPr>
          <w:sz w:val="28"/>
          <w:szCs w:val="28"/>
          <w:u w:val="single" w:color="auto"/>
          <w:spacing w:val="6"/>
        </w:rPr>
        <w:t xml:space="preserve">   </w:t>
      </w:r>
      <w:r>
        <w:rPr>
          <w:sz w:val="28"/>
          <w:szCs w:val="28"/>
          <w:spacing w:val="-24"/>
          <w:position w:val="1"/>
        </w:rPr>
        <w:t>日</w:t>
      </w:r>
    </w:p>
    <w:p>
      <w:pPr>
        <w:pStyle w:val="BodyText"/>
        <w:ind w:left="155"/>
        <w:spacing w:before="247" w:line="599" w:lineRule="exact"/>
        <w:rPr>
          <w:sz w:val="28"/>
          <w:szCs w:val="28"/>
        </w:rPr>
      </w:pPr>
      <w:r>
        <w:rPr>
          <w:sz w:val="28"/>
          <w:szCs w:val="28"/>
          <w:spacing w:val="18"/>
          <w:position w:val="24"/>
        </w:rPr>
        <w:t>主持人：(必须是总工程师或矿长)</w:t>
      </w:r>
    </w:p>
    <w:p>
      <w:pPr>
        <w:pStyle w:val="BodyText"/>
        <w:ind w:left="165"/>
        <w:spacing w:line="218" w:lineRule="auto"/>
        <w:rPr>
          <w:sz w:val="28"/>
          <w:szCs w:val="28"/>
        </w:rPr>
      </w:pPr>
      <w:r>
        <w:rPr>
          <w:sz w:val="28"/>
          <w:szCs w:val="28"/>
          <w:spacing w:val="-12"/>
        </w:rPr>
        <w:t>会审意见：</w:t>
      </w:r>
    </w:p>
    <w:p>
      <w:pPr>
        <w:spacing w:line="319" w:lineRule="auto"/>
        <w:rPr>
          <w:rFonts w:ascii="Arial"/>
          <w:sz w:val="21"/>
        </w:rPr>
      </w:pPr>
      <w:r/>
    </w:p>
    <w:p>
      <w:pPr>
        <w:pStyle w:val="BodyText"/>
        <w:ind w:left="155"/>
        <w:spacing w:before="72" w:line="184" w:lineRule="auto"/>
        <w:rPr>
          <w:sz w:val="22"/>
          <w:szCs w:val="22"/>
        </w:rPr>
      </w:pPr>
      <w:r>
        <w:rPr>
          <w:sz w:val="22"/>
          <w:szCs w:val="22"/>
          <w:color w:val="162BE5"/>
          <w:spacing w:val="-7"/>
        </w:rPr>
        <w:t>1.</w:t>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pStyle w:val="BodyText"/>
        <w:ind w:left="6884"/>
        <w:spacing w:before="92" w:line="219" w:lineRule="auto"/>
        <w:rPr>
          <w:sz w:val="28"/>
          <w:szCs w:val="28"/>
        </w:rPr>
      </w:pPr>
      <w:r>
        <w:rPr>
          <w:sz w:val="28"/>
          <w:szCs w:val="28"/>
          <w:spacing w:val="-15"/>
        </w:rPr>
        <w:t>会审意见共</w:t>
      </w:r>
      <w:r>
        <w:rPr>
          <w:sz w:val="28"/>
          <w:szCs w:val="28"/>
          <w:u w:val="single" w:color="auto"/>
          <w:spacing w:val="12"/>
        </w:rPr>
        <w:t xml:space="preserve">    </w:t>
      </w:r>
      <w:r>
        <w:rPr>
          <w:sz w:val="28"/>
          <w:szCs w:val="28"/>
          <w:spacing w:val="-15"/>
        </w:rPr>
        <w:t>条</w:t>
      </w:r>
    </w:p>
    <w:p>
      <w:pPr>
        <w:pStyle w:val="BodyText"/>
        <w:ind w:left="4085"/>
        <w:spacing w:before="248" w:line="219" w:lineRule="auto"/>
        <w:rPr>
          <w:sz w:val="31"/>
          <w:szCs w:val="31"/>
        </w:rPr>
      </w:pPr>
      <w:r>
        <w:rPr>
          <w:sz w:val="31"/>
          <w:szCs w:val="31"/>
          <w:spacing w:val="2"/>
        </w:rPr>
        <w:t>会审人员签字</w:t>
      </w:r>
    </w:p>
    <w:p>
      <w:pPr>
        <w:spacing w:line="16" w:lineRule="exact"/>
        <w:rPr/>
      </w:pPr>
      <w:r/>
    </w:p>
    <w:tbl>
      <w:tblPr>
        <w:tblStyle w:val="TableNormal"/>
        <w:tblW w:w="10020" w:type="dxa"/>
        <w:tblInd w:w="5"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1574"/>
        <w:gridCol w:w="1768"/>
        <w:gridCol w:w="1668"/>
        <w:gridCol w:w="1399"/>
        <w:gridCol w:w="1938"/>
        <w:gridCol w:w="1673"/>
      </w:tblGrid>
      <w:tr>
        <w:trPr>
          <w:trHeight w:val="553" w:hRule="atLeast"/>
        </w:trPr>
        <w:tc>
          <w:tcPr>
            <w:tcW w:w="1574" w:type="dxa"/>
            <w:vAlign w:val="top"/>
          </w:tcPr>
          <w:p>
            <w:pPr>
              <w:ind w:left="425"/>
              <w:spacing w:before="227" w:line="208" w:lineRule="auto"/>
              <w:rPr>
                <w:rFonts w:ascii="SimSun" w:hAnsi="SimSun" w:eastAsia="SimSun" w:cs="SimSun"/>
                <w:sz w:val="28"/>
                <w:szCs w:val="28"/>
              </w:rPr>
            </w:pPr>
            <w:r>
              <w:rPr>
                <w:rFonts w:ascii="SimSun" w:hAnsi="SimSun" w:eastAsia="SimSun" w:cs="SimSun"/>
                <w:sz w:val="28"/>
                <w:szCs w:val="28"/>
                <w:spacing w:val="-7"/>
              </w:rPr>
              <w:t>单</w:t>
            </w:r>
            <w:r>
              <w:rPr>
                <w:rFonts w:ascii="SimSun" w:hAnsi="SimSun" w:eastAsia="SimSun" w:cs="SimSun"/>
                <w:sz w:val="28"/>
                <w:szCs w:val="28"/>
                <w:spacing w:val="54"/>
              </w:rPr>
              <w:t xml:space="preserve"> </w:t>
            </w:r>
            <w:r>
              <w:rPr>
                <w:rFonts w:ascii="SimSun" w:hAnsi="SimSun" w:eastAsia="SimSun" w:cs="SimSun"/>
                <w:sz w:val="28"/>
                <w:szCs w:val="28"/>
                <w:spacing w:val="-7"/>
              </w:rPr>
              <w:t>位</w:t>
            </w:r>
          </w:p>
        </w:tc>
        <w:tc>
          <w:tcPr>
            <w:tcW w:w="1768" w:type="dxa"/>
            <w:vAlign w:val="top"/>
          </w:tcPr>
          <w:p>
            <w:pPr>
              <w:ind w:left="520"/>
              <w:spacing w:before="265" w:line="183"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68" w:type="dxa"/>
            <w:vAlign w:val="top"/>
          </w:tcPr>
          <w:p>
            <w:pPr>
              <w:ind w:left="483"/>
              <w:spacing w:before="256" w:line="189" w:lineRule="auto"/>
              <w:rPr>
                <w:rFonts w:ascii="SimSun" w:hAnsi="SimSun" w:eastAsia="SimSun" w:cs="SimSun"/>
                <w:sz w:val="28"/>
                <w:szCs w:val="28"/>
              </w:rPr>
            </w:pPr>
            <w:r>
              <w:rPr>
                <w:rFonts w:ascii="SimSun" w:hAnsi="SimSun" w:eastAsia="SimSun" w:cs="SimSun"/>
                <w:sz w:val="28"/>
                <w:szCs w:val="28"/>
                <w:spacing w:val="6"/>
              </w:rPr>
              <w:t>职务</w:t>
            </w:r>
          </w:p>
        </w:tc>
        <w:tc>
          <w:tcPr>
            <w:tcW w:w="1399" w:type="dxa"/>
            <w:vAlign w:val="top"/>
          </w:tcPr>
          <w:p>
            <w:pPr>
              <w:ind w:left="374"/>
              <w:spacing w:before="227" w:line="208" w:lineRule="auto"/>
              <w:rPr>
                <w:rFonts w:ascii="SimSun" w:hAnsi="SimSun" w:eastAsia="SimSun" w:cs="SimSun"/>
                <w:sz w:val="28"/>
                <w:szCs w:val="28"/>
              </w:rPr>
            </w:pPr>
            <w:r>
              <w:rPr>
                <w:rFonts w:ascii="SimSun" w:hAnsi="SimSun" w:eastAsia="SimSun" w:cs="SimSun"/>
                <w:sz w:val="28"/>
                <w:szCs w:val="28"/>
                <w:spacing w:val="5"/>
              </w:rPr>
              <w:t>单位</w:t>
            </w:r>
          </w:p>
        </w:tc>
        <w:tc>
          <w:tcPr>
            <w:tcW w:w="1938" w:type="dxa"/>
            <w:vAlign w:val="top"/>
          </w:tcPr>
          <w:p>
            <w:pPr>
              <w:ind w:left="616"/>
              <w:spacing w:before="256" w:line="189" w:lineRule="auto"/>
              <w:rPr>
                <w:rFonts w:ascii="SimSun" w:hAnsi="SimSun" w:eastAsia="SimSun" w:cs="SimSun"/>
                <w:sz w:val="28"/>
                <w:szCs w:val="28"/>
              </w:rPr>
            </w:pPr>
            <w:r>
              <w:rPr>
                <w:rFonts w:ascii="SimSun" w:hAnsi="SimSun" w:eastAsia="SimSun" w:cs="SimSun"/>
                <w:sz w:val="28"/>
                <w:szCs w:val="28"/>
                <w:spacing w:val="-6"/>
              </w:rPr>
              <w:t>姓</w:t>
            </w:r>
            <w:r>
              <w:rPr>
                <w:rFonts w:ascii="SimSun" w:hAnsi="SimSun" w:eastAsia="SimSun" w:cs="SimSun"/>
                <w:sz w:val="28"/>
                <w:szCs w:val="28"/>
                <w:spacing w:val="81"/>
              </w:rPr>
              <w:t xml:space="preserve"> </w:t>
            </w:r>
            <w:r>
              <w:rPr>
                <w:rFonts w:ascii="SimSun" w:hAnsi="SimSun" w:eastAsia="SimSun" w:cs="SimSun"/>
                <w:sz w:val="28"/>
                <w:szCs w:val="28"/>
                <w:spacing w:val="-6"/>
              </w:rPr>
              <w:t>名</w:t>
            </w:r>
          </w:p>
        </w:tc>
        <w:tc>
          <w:tcPr>
            <w:tcW w:w="1673" w:type="dxa"/>
            <w:vAlign w:val="top"/>
          </w:tcPr>
          <w:p>
            <w:pPr>
              <w:ind w:left="488"/>
              <w:spacing w:before="256" w:line="189" w:lineRule="auto"/>
              <w:rPr>
                <w:rFonts w:ascii="SimSun" w:hAnsi="SimSun" w:eastAsia="SimSun" w:cs="SimSun"/>
                <w:sz w:val="28"/>
                <w:szCs w:val="28"/>
              </w:rPr>
            </w:pPr>
            <w:r>
              <w:rPr>
                <w:rFonts w:ascii="SimSun" w:hAnsi="SimSun" w:eastAsia="SimSun" w:cs="SimSun"/>
                <w:sz w:val="28"/>
                <w:szCs w:val="28"/>
                <w:spacing w:val="6"/>
              </w:rPr>
              <w:t>职务</w:t>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6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58"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r>
        <w:trPr>
          <w:trHeight w:val="533" w:hRule="atLeast"/>
        </w:trPr>
        <w:tc>
          <w:tcPr>
            <w:tcW w:w="1574" w:type="dxa"/>
            <w:vAlign w:val="top"/>
          </w:tcPr>
          <w:p>
            <w:pPr>
              <w:pStyle w:val="TableText"/>
              <w:rPr/>
            </w:pPr>
            <w:r/>
          </w:p>
        </w:tc>
        <w:tc>
          <w:tcPr>
            <w:tcW w:w="1768" w:type="dxa"/>
            <w:vAlign w:val="top"/>
          </w:tcPr>
          <w:p>
            <w:pPr>
              <w:pStyle w:val="TableText"/>
              <w:rPr/>
            </w:pPr>
            <w:r/>
          </w:p>
        </w:tc>
        <w:tc>
          <w:tcPr>
            <w:tcW w:w="1668" w:type="dxa"/>
            <w:vAlign w:val="top"/>
          </w:tcPr>
          <w:p>
            <w:pPr>
              <w:pStyle w:val="TableText"/>
              <w:rPr/>
            </w:pPr>
            <w:r/>
          </w:p>
        </w:tc>
        <w:tc>
          <w:tcPr>
            <w:tcW w:w="1399" w:type="dxa"/>
            <w:vAlign w:val="top"/>
          </w:tcPr>
          <w:p>
            <w:pPr>
              <w:pStyle w:val="TableText"/>
              <w:rPr/>
            </w:pPr>
            <w:r/>
          </w:p>
        </w:tc>
        <w:tc>
          <w:tcPr>
            <w:tcW w:w="1938" w:type="dxa"/>
            <w:vAlign w:val="top"/>
          </w:tcPr>
          <w:p>
            <w:pPr>
              <w:pStyle w:val="TableText"/>
              <w:rPr/>
            </w:pPr>
            <w:r/>
          </w:p>
        </w:tc>
        <w:tc>
          <w:tcPr>
            <w:tcW w:w="1673" w:type="dxa"/>
            <w:vAlign w:val="top"/>
          </w:tcPr>
          <w:p>
            <w:pPr>
              <w:pStyle w:val="TableText"/>
              <w:rPr/>
            </w:pPr>
            <w:r/>
          </w:p>
        </w:tc>
      </w:tr>
    </w:tbl>
    <w:p>
      <w:pPr>
        <w:pStyle w:val="BodyText"/>
        <w:ind w:right="41"/>
        <w:spacing w:before="255" w:line="601" w:lineRule="exact"/>
        <w:jc w:val="right"/>
        <w:rPr>
          <w:sz w:val="28"/>
          <w:szCs w:val="28"/>
        </w:rPr>
      </w:pPr>
      <w:r>
        <w:rPr>
          <w:sz w:val="28"/>
          <w:szCs w:val="28"/>
          <w:spacing w:val="-4"/>
          <w:position w:val="24"/>
        </w:rPr>
        <w:t>会审人员必须包括通防副总、地质副总、安全副总，通风、技术、安监、地测、</w:t>
      </w:r>
    </w:p>
    <w:p>
      <w:pPr>
        <w:pStyle w:val="BodyText"/>
        <w:ind w:left="205"/>
        <w:spacing w:before="1" w:line="219" w:lineRule="auto"/>
        <w:rPr>
          <w:sz w:val="28"/>
          <w:szCs w:val="28"/>
        </w:rPr>
      </w:pPr>
      <w:r>
        <w:rPr>
          <w:sz w:val="28"/>
          <w:szCs w:val="28"/>
          <w:spacing w:val="5"/>
        </w:rPr>
        <w:t>调度室、施工单位部门负责人或技术负责人(必须有助理以上</w:t>
      </w:r>
      <w:r>
        <w:rPr>
          <w:sz w:val="28"/>
          <w:szCs w:val="28"/>
          <w:spacing w:val="4"/>
        </w:rPr>
        <w:t>职称)参加。</w:t>
      </w:r>
    </w:p>
    <w:p>
      <w:pPr>
        <w:pStyle w:val="BodyText"/>
        <w:ind w:left="195"/>
        <w:spacing w:before="268" w:line="219" w:lineRule="auto"/>
        <w:rPr>
          <w:sz w:val="28"/>
          <w:szCs w:val="28"/>
        </w:rPr>
      </w:pPr>
      <w:r>
        <w:rPr>
          <w:sz w:val="28"/>
          <w:szCs w:val="28"/>
          <w:spacing w:val="-9"/>
        </w:rPr>
        <w:t>审批意见：  (必须经总工程师和矿长审批)</w:t>
      </w:r>
    </w:p>
    <w:p>
      <w:pPr>
        <w:pStyle w:val="BodyText"/>
        <w:ind w:left="4534"/>
        <w:spacing w:before="267" w:line="219" w:lineRule="auto"/>
        <w:rPr>
          <w:sz w:val="28"/>
          <w:szCs w:val="28"/>
        </w:rPr>
      </w:pPr>
      <w:r>
        <w:rPr>
          <w:sz w:val="28"/>
          <w:szCs w:val="28"/>
          <w:spacing w:val="-13"/>
        </w:rPr>
        <w:t>审批人签字：</w:t>
      </w:r>
    </w:p>
    <w:p>
      <w:pPr>
        <w:spacing w:line="219" w:lineRule="auto"/>
        <w:sectPr>
          <w:headerReference w:type="default" r:id="rId3"/>
          <w:footerReference w:type="default" r:id="rId4"/>
          <w:pgSz w:w="11900" w:h="16940"/>
          <w:pgMar w:top="1009" w:right="944" w:bottom="872" w:left="924" w:header="727" w:footer="713" w:gutter="0"/>
        </w:sectPr>
        <w:rPr>
          <w:sz w:val="28"/>
          <w:szCs w:val="28"/>
        </w:rPr>
      </w:pPr>
    </w:p>
    <w:p>
      <w:pPr>
        <w:spacing w:line="274" w:lineRule="auto"/>
        <w:rPr>
          <w:rFonts w:ascii="Arial"/>
          <w:sz w:val="21"/>
        </w:rPr>
      </w:pPr>
      <w:r/>
    </w:p>
    <w:p>
      <w:pPr>
        <w:pStyle w:val="BodyText"/>
        <w:ind w:left="2"/>
        <w:spacing w:before="59" w:line="219" w:lineRule="auto"/>
        <w:rPr>
          <w:sz w:val="18"/>
          <w:szCs w:val="18"/>
        </w:rPr>
      </w:pPr>
      <w:r>
        <w:rPr>
          <w:sz w:val="18"/>
          <w:szCs w:val="18"/>
          <w:b/>
          <w:bCs/>
        </w:rPr>
        <w:t>XX</w:t>
      </w:r>
      <w:r>
        <w:rPr>
          <w:sz w:val="18"/>
          <w:szCs w:val="18"/>
          <w:b/>
          <w:bCs/>
          <w:spacing w:val="10"/>
        </w:rPr>
        <w:t>矿井防突专项设计</w:t>
      </w:r>
    </w:p>
    <w:p>
      <w:pPr>
        <w:spacing w:line="416" w:lineRule="auto"/>
        <w:rPr>
          <w:rFonts w:ascii="Arial"/>
          <w:sz w:val="21"/>
        </w:rPr>
      </w:pPr>
      <w:r/>
    </w:p>
    <w:p>
      <w:pPr>
        <w:ind w:left="4384"/>
        <w:spacing w:before="110" w:line="223" w:lineRule="auto"/>
        <w:rPr>
          <w:rFonts w:ascii="FangSong" w:hAnsi="FangSong" w:eastAsia="FangSong" w:cs="FangSong"/>
          <w:sz w:val="34"/>
          <w:szCs w:val="34"/>
        </w:rPr>
      </w:pPr>
      <w:bookmarkStart w:name="bookmark1" w:id="1"/>
      <w:bookmarkEnd w:id="1"/>
      <w:r>
        <w:rPr>
          <w:rFonts w:ascii="FangSong" w:hAnsi="FangSong" w:eastAsia="FangSong" w:cs="FangSong"/>
          <w:sz w:val="34"/>
          <w:szCs w:val="34"/>
          <w:b/>
          <w:bCs/>
          <w:spacing w:val="-45"/>
        </w:rPr>
        <w:t>目</w:t>
      </w:r>
      <w:r>
        <w:rPr>
          <w:rFonts w:ascii="FangSong" w:hAnsi="FangSong" w:eastAsia="FangSong" w:cs="FangSong"/>
          <w:sz w:val="34"/>
          <w:szCs w:val="34"/>
          <w:spacing w:val="64"/>
        </w:rPr>
        <w:t xml:space="preserve">  </w:t>
      </w:r>
      <w:r>
        <w:rPr>
          <w:rFonts w:ascii="FangSong" w:hAnsi="FangSong" w:eastAsia="FangSong" w:cs="FangSong"/>
          <w:sz w:val="34"/>
          <w:szCs w:val="34"/>
          <w:b/>
          <w:bCs/>
          <w:spacing w:val="-45"/>
        </w:rPr>
        <w:t>录</w:t>
      </w:r>
    </w:p>
    <w:sdt>
      <w:sdtPr>
        <w:rPr>
          <w:rFonts w:ascii="FangSong" w:hAnsi="FangSong" w:eastAsia="FangSong" w:cs="FangSong"/>
          <w:sz w:val="26"/>
          <w:szCs w:val="26"/>
        </w:rPr>
        <w:docPartObj>
          <w:docPartGallery w:val="Table of Contents"/>
          <w:docPartUnique/>
        </w:docPartObj>
      </w:sdtPr>
      <w:sdtEndPr>
        <w:rPr>
          <w:rFonts w:ascii="Times New Roman" w:hAnsi="Times New Roman" w:eastAsia="Times New Roman" w:cs="Times New Roman"/>
          <w:sz w:val="26"/>
          <w:szCs w:val="26"/>
        </w:rPr>
      </w:sdtEndPr>
      <w:sdtContent>
        <w:p>
          <w:pPr>
            <w:ind w:left="3"/>
            <w:spacing w:before="214" w:line="222" w:lineRule="auto"/>
            <w:tabs>
              <w:tab w:val="right" w:leader="dot" w:pos="9672"/>
            </w:tabs>
            <w:rPr>
              <w:rFonts w:ascii="Times New Roman" w:hAnsi="Times New Roman" w:eastAsia="Times New Roman" w:cs="Times New Roman"/>
              <w:sz w:val="26"/>
              <w:szCs w:val="26"/>
            </w:rPr>
          </w:pPr>
          <w:r>
            <w:rPr>
              <w:rFonts w:ascii="FangSong" w:hAnsi="FangSong" w:eastAsia="FangSong" w:cs="FangSong"/>
              <w:sz w:val="26"/>
              <w:szCs w:val="26"/>
              <w:b/>
              <w:bCs/>
              <w:spacing w:val="-24"/>
            </w:rPr>
            <w:t>前</w:t>
          </w:r>
          <w:r>
            <w:rPr>
              <w:rFonts w:ascii="FangSong" w:hAnsi="FangSong" w:eastAsia="FangSong" w:cs="FangSong"/>
              <w:sz w:val="26"/>
              <w:szCs w:val="26"/>
              <w:spacing w:val="42"/>
            </w:rPr>
            <w:t xml:space="preserve">  </w:t>
          </w:r>
          <w:r>
            <w:rPr>
              <w:rFonts w:ascii="FangSong" w:hAnsi="FangSong" w:eastAsia="FangSong" w:cs="FangSong"/>
              <w:sz w:val="26"/>
              <w:szCs w:val="26"/>
              <w:b/>
              <w:bCs/>
              <w:spacing w:val="-24"/>
            </w:rPr>
            <w:t>言</w:t>
          </w:r>
          <w:r>
            <w:rPr>
              <w:rFonts w:ascii="FangSong" w:hAnsi="FangSong" w:eastAsia="FangSong" w:cs="FangSong"/>
              <w:sz w:val="26"/>
              <w:szCs w:val="26"/>
              <w:spacing w:val="-117"/>
            </w:rPr>
            <w:t xml:space="preserve"> </w:t>
          </w:r>
          <w:r>
            <w:rPr>
              <w:rFonts w:ascii="FangSong" w:hAnsi="FangSong" w:eastAsia="FangSong" w:cs="FangSong"/>
              <w:sz w:val="26"/>
              <w:szCs w:val="26"/>
            </w:rPr>
            <w:tab/>
          </w:r>
          <w:hyperlink w:history="true" w:anchor="bookmark2">
            <w:r>
              <w:rPr>
                <w:rFonts w:ascii="Times New Roman" w:hAnsi="Times New Roman" w:eastAsia="Times New Roman" w:cs="Times New Roman"/>
                <w:sz w:val="26"/>
                <w:szCs w:val="26"/>
                <w:b/>
                <w:bCs/>
              </w:rPr>
              <w:t>1</w:t>
            </w:r>
          </w:hyperlink>
        </w:p>
        <w:p>
          <w:pPr>
            <w:spacing w:before="250" w:line="222" w:lineRule="auto"/>
            <w:tabs>
              <w:tab w:val="right" w:leader="dot" w:pos="9679"/>
            </w:tabs>
            <w:rPr>
              <w:rFonts w:ascii="Times New Roman" w:hAnsi="Times New Roman" w:eastAsia="Times New Roman" w:cs="Times New Roman"/>
              <w:sz w:val="26"/>
              <w:szCs w:val="26"/>
            </w:rPr>
          </w:pPr>
          <w:r>
            <w:rPr>
              <w:rFonts w:ascii="FangSong" w:hAnsi="FangSong" w:eastAsia="FangSong" w:cs="FangSong"/>
              <w:sz w:val="26"/>
              <w:szCs w:val="26"/>
              <w:spacing w:val="25"/>
            </w:rPr>
            <w:t>第一节</w:t>
          </w:r>
          <w:r>
            <w:rPr>
              <w:rFonts w:ascii="FangSong" w:hAnsi="FangSong" w:eastAsia="FangSong" w:cs="FangSong"/>
              <w:sz w:val="26"/>
              <w:szCs w:val="26"/>
              <w:spacing w:val="51"/>
            </w:rPr>
            <w:t xml:space="preserve"> </w:t>
          </w:r>
          <w:r>
            <w:rPr>
              <w:rFonts w:ascii="FangSong" w:hAnsi="FangSong" w:eastAsia="FangSong" w:cs="FangSong"/>
              <w:sz w:val="26"/>
              <w:szCs w:val="26"/>
              <w:spacing w:val="25"/>
            </w:rPr>
            <w:t>编制依据</w:t>
          </w:r>
          <w:r>
            <w:rPr>
              <w:rFonts w:ascii="FangSong" w:hAnsi="FangSong" w:eastAsia="FangSong" w:cs="FangSong"/>
              <w:sz w:val="26"/>
              <w:szCs w:val="26"/>
              <w:spacing w:val="-118"/>
            </w:rPr>
            <w:t xml:space="preserve"> </w:t>
          </w:r>
          <w:r>
            <w:rPr>
              <w:rFonts w:ascii="FangSong" w:hAnsi="FangSong" w:eastAsia="FangSong" w:cs="FangSong"/>
              <w:sz w:val="26"/>
              <w:szCs w:val="26"/>
            </w:rPr>
            <w:tab/>
          </w:r>
          <w:hyperlink w:history="true" w:anchor="bookmark3">
            <w:r>
              <w:rPr>
                <w:rFonts w:ascii="Times New Roman" w:hAnsi="Times New Roman" w:eastAsia="Times New Roman" w:cs="Times New Roman"/>
                <w:sz w:val="26"/>
                <w:szCs w:val="26"/>
                <w:spacing w:val="-29"/>
              </w:rPr>
              <w:t>1</w:t>
            </w:r>
          </w:hyperlink>
        </w:p>
        <w:p>
          <w:pPr>
            <w:spacing w:before="258" w:line="222" w:lineRule="auto"/>
            <w:tabs>
              <w:tab w:val="right" w:leader="dot" w:pos="9649"/>
            </w:tabs>
            <w:rPr>
              <w:rFonts w:ascii="Times New Roman" w:hAnsi="Times New Roman" w:eastAsia="Times New Roman" w:cs="Times New Roman"/>
              <w:sz w:val="26"/>
              <w:szCs w:val="26"/>
            </w:rPr>
          </w:pPr>
          <w:r>
            <w:rPr>
              <w:rFonts w:ascii="FangSong" w:hAnsi="FangSong" w:eastAsia="FangSong" w:cs="FangSong"/>
              <w:sz w:val="26"/>
              <w:szCs w:val="26"/>
              <w:spacing w:val="25"/>
            </w:rPr>
            <w:t>第二节</w:t>
          </w:r>
          <w:r>
            <w:rPr>
              <w:rFonts w:ascii="FangSong" w:hAnsi="FangSong" w:eastAsia="FangSong" w:cs="FangSong"/>
              <w:sz w:val="26"/>
              <w:szCs w:val="26"/>
              <w:spacing w:val="25"/>
            </w:rPr>
            <w:t xml:space="preserve"> </w:t>
          </w:r>
          <w:r>
            <w:rPr>
              <w:rFonts w:ascii="FangSong" w:hAnsi="FangSong" w:eastAsia="FangSong" w:cs="FangSong"/>
              <w:sz w:val="26"/>
              <w:szCs w:val="26"/>
              <w:spacing w:val="25"/>
            </w:rPr>
            <w:t>设计指导思想</w:t>
          </w:r>
          <w:r>
            <w:rPr>
              <w:rFonts w:ascii="FangSong" w:hAnsi="FangSong" w:eastAsia="FangSong" w:cs="FangSong"/>
              <w:sz w:val="26"/>
              <w:szCs w:val="26"/>
            </w:rPr>
            <w:tab/>
          </w:r>
          <w:r>
            <w:rPr>
              <w:rFonts w:ascii="FangSong" w:hAnsi="FangSong" w:eastAsia="FangSong" w:cs="FangSong"/>
              <w:sz w:val="26"/>
              <w:szCs w:val="26"/>
              <w:spacing w:val="-41"/>
            </w:rPr>
            <w:t xml:space="preserve"> </w:t>
          </w:r>
          <w:hyperlink w:history="true" w:anchor="bookmark4">
            <w:r>
              <w:rPr>
                <w:rFonts w:ascii="Times New Roman" w:hAnsi="Times New Roman" w:eastAsia="Times New Roman" w:cs="Times New Roman"/>
                <w:sz w:val="26"/>
                <w:szCs w:val="26"/>
              </w:rPr>
              <w:t>1</w:t>
            </w:r>
          </w:hyperlink>
        </w:p>
        <w:p>
          <w:pPr>
            <w:spacing w:before="255" w:line="219" w:lineRule="auto"/>
            <w:tabs>
              <w:tab w:val="right" w:leader="dot" w:pos="9689"/>
            </w:tabs>
            <w:rPr>
              <w:rFonts w:ascii="Times New Roman" w:hAnsi="Times New Roman" w:eastAsia="Times New Roman" w:cs="Times New Roman"/>
              <w:sz w:val="26"/>
              <w:szCs w:val="26"/>
            </w:rPr>
          </w:pPr>
          <w:r>
            <w:rPr>
              <w:rFonts w:ascii="FangSong" w:hAnsi="FangSong" w:eastAsia="FangSong" w:cs="FangSong"/>
              <w:sz w:val="26"/>
              <w:szCs w:val="26"/>
              <w:spacing w:val="24"/>
            </w:rPr>
            <w:t>第三节</w:t>
          </w:r>
          <w:r>
            <w:rPr>
              <w:rFonts w:ascii="FangSong" w:hAnsi="FangSong" w:eastAsia="FangSong" w:cs="FangSong"/>
              <w:sz w:val="26"/>
              <w:szCs w:val="26"/>
              <w:spacing w:val="24"/>
            </w:rPr>
            <w:t xml:space="preserve"> </w:t>
          </w:r>
          <w:r>
            <w:rPr>
              <w:rFonts w:ascii="FangSong" w:hAnsi="FangSong" w:eastAsia="FangSong" w:cs="FangSong"/>
              <w:sz w:val="26"/>
              <w:szCs w:val="26"/>
              <w:spacing w:val="24"/>
            </w:rPr>
            <w:t>存在的主要问题及安全措施</w:t>
          </w:r>
          <w:r>
            <w:rPr>
              <w:rFonts w:ascii="FangSong" w:hAnsi="FangSong" w:eastAsia="FangSong" w:cs="FangSong"/>
              <w:sz w:val="26"/>
              <w:szCs w:val="26"/>
              <w:spacing w:val="-115"/>
            </w:rPr>
            <w:t xml:space="preserve"> </w:t>
          </w:r>
          <w:r>
            <w:rPr>
              <w:rFonts w:ascii="FangSong" w:hAnsi="FangSong" w:eastAsia="FangSong" w:cs="FangSong"/>
              <w:sz w:val="26"/>
              <w:szCs w:val="26"/>
            </w:rPr>
            <w:tab/>
          </w:r>
          <w:hyperlink w:history="true" w:anchor="bookmark5">
            <w:r>
              <w:rPr>
                <w:rFonts w:ascii="Times New Roman" w:hAnsi="Times New Roman" w:eastAsia="Times New Roman" w:cs="Times New Roman"/>
                <w:sz w:val="26"/>
                <w:szCs w:val="26"/>
                <w:spacing w:val="-41"/>
              </w:rPr>
              <w:t>1</w:t>
            </w:r>
          </w:hyperlink>
        </w:p>
        <w:p>
          <w:pPr>
            <w:ind w:left="3"/>
            <w:spacing w:before="222" w:line="222" w:lineRule="auto"/>
            <w:tabs>
              <w:tab w:val="right" w:leader="dot" w:pos="9662"/>
            </w:tabs>
            <w:rPr>
              <w:rFonts w:ascii="Times New Roman" w:hAnsi="Times New Roman" w:eastAsia="Times New Roman" w:cs="Times New Roman"/>
              <w:sz w:val="26"/>
              <w:szCs w:val="26"/>
            </w:rPr>
          </w:pPr>
          <w:r>
            <w:rPr>
              <w:rFonts w:ascii="FangSong" w:hAnsi="FangSong" w:eastAsia="FangSong" w:cs="FangSong"/>
              <w:sz w:val="26"/>
              <w:szCs w:val="26"/>
              <w:b/>
              <w:bCs/>
              <w:spacing w:val="-23"/>
            </w:rPr>
            <w:t>第</w:t>
          </w:r>
          <w:r>
            <w:rPr>
              <w:rFonts w:ascii="FangSong" w:hAnsi="FangSong" w:eastAsia="FangSong" w:cs="FangSong"/>
              <w:sz w:val="26"/>
              <w:szCs w:val="26"/>
              <w:spacing w:val="-76"/>
            </w:rPr>
            <w:t xml:space="preserve"> </w:t>
          </w:r>
          <w:r>
            <w:rPr>
              <w:rFonts w:ascii="FangSong" w:hAnsi="FangSong" w:eastAsia="FangSong" w:cs="FangSong"/>
              <w:sz w:val="26"/>
              <w:szCs w:val="26"/>
              <w:b/>
              <w:bCs/>
              <w:spacing w:val="-23"/>
            </w:rPr>
            <w:t>一</w:t>
          </w:r>
          <w:r>
            <w:rPr>
              <w:rFonts w:ascii="FangSong" w:hAnsi="FangSong" w:eastAsia="FangSong" w:cs="FangSong"/>
              <w:sz w:val="26"/>
              <w:szCs w:val="26"/>
              <w:spacing w:val="-78"/>
            </w:rPr>
            <w:t xml:space="preserve"> </w:t>
          </w:r>
          <w:r>
            <w:rPr>
              <w:rFonts w:ascii="FangSong" w:hAnsi="FangSong" w:eastAsia="FangSong" w:cs="FangSong"/>
              <w:sz w:val="26"/>
              <w:szCs w:val="26"/>
              <w:b/>
              <w:bCs/>
              <w:spacing w:val="-23"/>
            </w:rPr>
            <w:t>章</w:t>
          </w:r>
          <w:r>
            <w:rPr>
              <w:rFonts w:ascii="FangSong" w:hAnsi="FangSong" w:eastAsia="FangSong" w:cs="FangSong"/>
              <w:sz w:val="26"/>
              <w:szCs w:val="26"/>
              <w:spacing w:val="65"/>
            </w:rPr>
            <w:t xml:space="preserve"> </w:t>
          </w:r>
          <w:r>
            <w:rPr>
              <w:rFonts w:ascii="FangSong" w:hAnsi="FangSong" w:eastAsia="FangSong" w:cs="FangSong"/>
              <w:sz w:val="26"/>
              <w:szCs w:val="26"/>
              <w:b/>
              <w:bCs/>
              <w:spacing w:val="-23"/>
            </w:rPr>
            <w:t>矿</w:t>
          </w:r>
          <w:r>
            <w:rPr>
              <w:rFonts w:ascii="FangSong" w:hAnsi="FangSong" w:eastAsia="FangSong" w:cs="FangSong"/>
              <w:sz w:val="26"/>
              <w:szCs w:val="26"/>
              <w:spacing w:val="-41"/>
            </w:rPr>
            <w:t xml:space="preserve"> </w:t>
          </w:r>
          <w:r>
            <w:rPr>
              <w:rFonts w:ascii="FangSong" w:hAnsi="FangSong" w:eastAsia="FangSong" w:cs="FangSong"/>
              <w:sz w:val="26"/>
              <w:szCs w:val="26"/>
              <w:b/>
              <w:bCs/>
              <w:spacing w:val="-23"/>
            </w:rPr>
            <w:t>井</w:t>
          </w:r>
          <w:r>
            <w:rPr>
              <w:rFonts w:ascii="FangSong" w:hAnsi="FangSong" w:eastAsia="FangSong" w:cs="FangSong"/>
              <w:sz w:val="26"/>
              <w:szCs w:val="26"/>
              <w:spacing w:val="-45"/>
            </w:rPr>
            <w:t xml:space="preserve"> </w:t>
          </w:r>
          <w:r>
            <w:rPr>
              <w:rFonts w:ascii="FangSong" w:hAnsi="FangSong" w:eastAsia="FangSong" w:cs="FangSong"/>
              <w:sz w:val="26"/>
              <w:szCs w:val="26"/>
              <w:b/>
              <w:bCs/>
              <w:spacing w:val="-23"/>
            </w:rPr>
            <w:t>概</w:t>
          </w:r>
          <w:r>
            <w:rPr>
              <w:rFonts w:ascii="FangSong" w:hAnsi="FangSong" w:eastAsia="FangSong" w:cs="FangSong"/>
              <w:sz w:val="26"/>
              <w:szCs w:val="26"/>
              <w:spacing w:val="-43"/>
            </w:rPr>
            <w:t xml:space="preserve"> </w:t>
          </w:r>
          <w:r>
            <w:rPr>
              <w:rFonts w:ascii="FangSong" w:hAnsi="FangSong" w:eastAsia="FangSong" w:cs="FangSong"/>
              <w:sz w:val="26"/>
              <w:szCs w:val="26"/>
              <w:b/>
              <w:bCs/>
              <w:spacing w:val="-23"/>
            </w:rPr>
            <w:t>况</w:t>
          </w:r>
          <w:r>
            <w:rPr>
              <w:rFonts w:ascii="FangSong" w:hAnsi="FangSong" w:eastAsia="FangSong" w:cs="FangSong"/>
              <w:sz w:val="26"/>
              <w:szCs w:val="26"/>
              <w:spacing w:val="-115"/>
            </w:rPr>
            <w:t xml:space="preserve"> </w:t>
          </w:r>
          <w:r>
            <w:rPr>
              <w:rFonts w:ascii="FangSong" w:hAnsi="FangSong" w:eastAsia="FangSong" w:cs="FangSong"/>
              <w:sz w:val="26"/>
              <w:szCs w:val="26"/>
            </w:rPr>
            <w:tab/>
          </w:r>
          <w:r>
            <w:rPr>
              <w:rFonts w:ascii="FangSong" w:hAnsi="FangSong" w:eastAsia="FangSong" w:cs="FangSong"/>
              <w:sz w:val="26"/>
              <w:szCs w:val="26"/>
              <w:spacing w:val="-108"/>
            </w:rPr>
            <w:t xml:space="preserve"> </w:t>
          </w:r>
          <w:hyperlink w:history="true" w:anchor="bookmark6">
            <w:r>
              <w:rPr>
                <w:rFonts w:ascii="Times New Roman" w:hAnsi="Times New Roman" w:eastAsia="Times New Roman" w:cs="Times New Roman"/>
                <w:sz w:val="26"/>
                <w:szCs w:val="26"/>
                <w:b/>
                <w:bCs/>
              </w:rPr>
              <w:t>2</w:t>
            </w:r>
          </w:hyperlink>
        </w:p>
        <w:p>
          <w:pPr>
            <w:spacing w:before="269" w:line="222" w:lineRule="auto"/>
            <w:tabs>
              <w:tab w:val="right" w:leader="dot" w:pos="9634"/>
            </w:tabs>
            <w:rPr>
              <w:rFonts w:ascii="Times New Roman" w:hAnsi="Times New Roman" w:eastAsia="Times New Roman" w:cs="Times New Roman"/>
              <w:sz w:val="26"/>
              <w:szCs w:val="26"/>
            </w:rPr>
          </w:pPr>
          <w:r>
            <w:rPr>
              <w:rFonts w:ascii="FangSong" w:hAnsi="FangSong" w:eastAsia="FangSong" w:cs="FangSong"/>
              <w:sz w:val="26"/>
              <w:szCs w:val="26"/>
              <w:spacing w:val="22"/>
            </w:rPr>
            <w:t>第一节</w:t>
          </w:r>
          <w:r>
            <w:rPr>
              <w:rFonts w:ascii="FangSong" w:hAnsi="FangSong" w:eastAsia="FangSong" w:cs="FangSong"/>
              <w:sz w:val="26"/>
              <w:szCs w:val="26"/>
              <w:spacing w:val="54"/>
            </w:rPr>
            <w:t xml:space="preserve"> </w:t>
          </w:r>
          <w:r>
            <w:rPr>
              <w:rFonts w:ascii="FangSong" w:hAnsi="FangSong" w:eastAsia="FangSong" w:cs="FangSong"/>
              <w:sz w:val="26"/>
              <w:szCs w:val="26"/>
              <w:spacing w:val="22"/>
            </w:rPr>
            <w:t>井田概况</w:t>
          </w:r>
          <w:r>
            <w:rPr>
              <w:rFonts w:ascii="FangSong" w:hAnsi="FangSong" w:eastAsia="FangSong" w:cs="FangSong"/>
              <w:sz w:val="26"/>
              <w:szCs w:val="26"/>
              <w:spacing w:val="-120"/>
            </w:rPr>
            <w:t xml:space="preserve"> </w:t>
          </w:r>
          <w:r>
            <w:rPr>
              <w:rFonts w:ascii="FangSong" w:hAnsi="FangSong" w:eastAsia="FangSong" w:cs="FangSong"/>
              <w:sz w:val="26"/>
              <w:szCs w:val="26"/>
            </w:rPr>
            <w:tab/>
          </w:r>
          <w:r>
            <w:rPr>
              <w:rFonts w:ascii="FangSong" w:hAnsi="FangSong" w:eastAsia="FangSong" w:cs="FangSong"/>
              <w:sz w:val="26"/>
              <w:szCs w:val="26"/>
              <w:spacing w:val="-40"/>
            </w:rPr>
            <w:t xml:space="preserve"> </w:t>
          </w:r>
          <w:hyperlink w:history="true" w:anchor="bookmark7">
            <w:r>
              <w:rPr>
                <w:rFonts w:ascii="Times New Roman" w:hAnsi="Times New Roman" w:eastAsia="Times New Roman" w:cs="Times New Roman"/>
                <w:sz w:val="26"/>
                <w:szCs w:val="26"/>
              </w:rPr>
              <w:t>2</w:t>
            </w:r>
          </w:hyperlink>
        </w:p>
        <w:p>
          <w:pPr>
            <w:spacing w:before="237" w:line="222" w:lineRule="auto"/>
            <w:tabs>
              <w:tab w:val="right" w:leader="dot" w:pos="9644"/>
            </w:tabs>
            <w:rPr>
              <w:rFonts w:ascii="Times New Roman" w:hAnsi="Times New Roman" w:eastAsia="Times New Roman" w:cs="Times New Roman"/>
              <w:sz w:val="26"/>
              <w:szCs w:val="26"/>
            </w:rPr>
          </w:pPr>
          <w:r>
            <w:rPr>
              <w:rFonts w:ascii="FangSong" w:hAnsi="FangSong" w:eastAsia="FangSong" w:cs="FangSong"/>
              <w:sz w:val="26"/>
              <w:szCs w:val="26"/>
              <w:spacing w:val="23"/>
            </w:rPr>
            <w:t>第二节</w:t>
          </w:r>
          <w:r>
            <w:rPr>
              <w:rFonts w:ascii="FangSong" w:hAnsi="FangSong" w:eastAsia="FangSong" w:cs="FangSong"/>
              <w:sz w:val="26"/>
              <w:szCs w:val="26"/>
              <w:spacing w:val="23"/>
            </w:rPr>
            <w:t xml:space="preserve"> </w:t>
          </w:r>
          <w:r>
            <w:rPr>
              <w:rFonts w:ascii="FangSong" w:hAnsi="FangSong" w:eastAsia="FangSong" w:cs="FangSong"/>
              <w:sz w:val="26"/>
              <w:szCs w:val="26"/>
              <w:spacing w:val="23"/>
            </w:rPr>
            <w:t>地层及地质构造情况</w:t>
          </w:r>
          <w:r>
            <w:rPr>
              <w:rFonts w:ascii="FangSong" w:hAnsi="FangSong" w:eastAsia="FangSong" w:cs="FangSong"/>
              <w:sz w:val="26"/>
              <w:szCs w:val="26"/>
              <w:spacing w:val="-111"/>
            </w:rPr>
            <w:t xml:space="preserve"> </w:t>
          </w:r>
          <w:r>
            <w:rPr>
              <w:rFonts w:ascii="FangSong" w:hAnsi="FangSong" w:eastAsia="FangSong" w:cs="FangSong"/>
              <w:sz w:val="26"/>
              <w:szCs w:val="26"/>
            </w:rPr>
            <w:tab/>
          </w:r>
          <w:hyperlink w:history="true" w:anchor="bookmark8">
            <w:r>
              <w:rPr>
                <w:rFonts w:ascii="Times New Roman" w:hAnsi="Times New Roman" w:eastAsia="Times New Roman" w:cs="Times New Roman"/>
                <w:sz w:val="26"/>
                <w:szCs w:val="26"/>
              </w:rPr>
              <w:t>2</w:t>
            </w:r>
          </w:hyperlink>
        </w:p>
        <w:p>
          <w:pPr>
            <w:spacing w:before="246" w:line="219" w:lineRule="auto"/>
            <w:tabs>
              <w:tab w:val="right" w:leader="dot" w:pos="9544"/>
            </w:tabs>
            <w:rPr>
              <w:rFonts w:ascii="Times New Roman" w:hAnsi="Times New Roman" w:eastAsia="Times New Roman" w:cs="Times New Roman"/>
              <w:sz w:val="26"/>
              <w:szCs w:val="26"/>
            </w:rPr>
          </w:pPr>
          <w:r>
            <w:rPr>
              <w:rFonts w:ascii="FangSong" w:hAnsi="FangSong" w:eastAsia="FangSong" w:cs="FangSong"/>
              <w:sz w:val="26"/>
              <w:szCs w:val="26"/>
              <w:spacing w:val="24"/>
            </w:rPr>
            <w:t>第三节</w:t>
          </w:r>
          <w:r>
            <w:rPr>
              <w:rFonts w:ascii="FangSong" w:hAnsi="FangSong" w:eastAsia="FangSong" w:cs="FangSong"/>
              <w:sz w:val="26"/>
              <w:szCs w:val="26"/>
              <w:spacing w:val="24"/>
            </w:rPr>
            <w:t xml:space="preserve"> </w:t>
          </w:r>
          <w:r>
            <w:rPr>
              <w:rFonts w:ascii="FangSong" w:hAnsi="FangSong" w:eastAsia="FangSong" w:cs="FangSong"/>
              <w:sz w:val="26"/>
              <w:szCs w:val="26"/>
              <w:spacing w:val="24"/>
            </w:rPr>
            <w:t>煤层赋存情况</w:t>
          </w:r>
          <w:r>
            <w:rPr>
              <w:rFonts w:ascii="FangSong" w:hAnsi="FangSong" w:eastAsia="FangSong" w:cs="FangSong"/>
              <w:sz w:val="26"/>
              <w:szCs w:val="26"/>
              <w:spacing w:val="-112"/>
            </w:rPr>
            <w:t xml:space="preserve"> </w:t>
          </w:r>
          <w:r>
            <w:rPr>
              <w:rFonts w:ascii="FangSong" w:hAnsi="FangSong" w:eastAsia="FangSong" w:cs="FangSong"/>
              <w:sz w:val="26"/>
              <w:szCs w:val="26"/>
            </w:rPr>
            <w:tab/>
          </w:r>
          <w:hyperlink w:history="true" w:anchor="bookmark9">
            <w:r>
              <w:rPr>
                <w:rFonts w:ascii="Times New Roman" w:hAnsi="Times New Roman" w:eastAsia="Times New Roman" w:cs="Times New Roman"/>
                <w:sz w:val="26"/>
                <w:szCs w:val="26"/>
              </w:rPr>
              <w:t>2</w:t>
            </w:r>
          </w:hyperlink>
        </w:p>
        <w:p>
          <w:pPr>
            <w:spacing w:before="253" w:line="222" w:lineRule="auto"/>
            <w:tabs>
              <w:tab w:val="right" w:leader="dot" w:pos="9634"/>
            </w:tabs>
            <w:rPr>
              <w:rFonts w:ascii="Times New Roman" w:hAnsi="Times New Roman" w:eastAsia="Times New Roman" w:cs="Times New Roman"/>
              <w:sz w:val="26"/>
              <w:szCs w:val="26"/>
            </w:rPr>
          </w:pPr>
          <w:r>
            <w:rPr>
              <w:rFonts w:ascii="FangSong" w:hAnsi="FangSong" w:eastAsia="FangSong" w:cs="FangSong"/>
              <w:sz w:val="26"/>
              <w:szCs w:val="26"/>
              <w:spacing w:val="22"/>
            </w:rPr>
            <w:t>第四节</w:t>
          </w:r>
          <w:r>
            <w:rPr>
              <w:rFonts w:ascii="FangSong" w:hAnsi="FangSong" w:eastAsia="FangSong" w:cs="FangSong"/>
              <w:sz w:val="26"/>
              <w:szCs w:val="26"/>
              <w:spacing w:val="33"/>
            </w:rPr>
            <w:t xml:space="preserve"> </w:t>
          </w:r>
          <w:r>
            <w:rPr>
              <w:rFonts w:ascii="FangSong" w:hAnsi="FangSong" w:eastAsia="FangSong" w:cs="FangSong"/>
              <w:sz w:val="26"/>
              <w:szCs w:val="26"/>
              <w:spacing w:val="22"/>
            </w:rPr>
            <w:t>矿井开拓开采</w:t>
          </w:r>
          <w:r>
            <w:rPr>
              <w:rFonts w:ascii="FangSong" w:hAnsi="FangSong" w:eastAsia="FangSong" w:cs="FangSong"/>
              <w:sz w:val="26"/>
              <w:szCs w:val="26"/>
            </w:rPr>
            <w:tab/>
          </w:r>
          <w:r>
            <w:rPr>
              <w:rFonts w:ascii="FangSong" w:hAnsi="FangSong" w:eastAsia="FangSong" w:cs="FangSong"/>
              <w:sz w:val="26"/>
              <w:szCs w:val="26"/>
              <w:spacing w:val="-60"/>
            </w:rPr>
            <w:t xml:space="preserve"> </w:t>
          </w:r>
          <w:hyperlink w:history="true" w:anchor="bookmark10">
            <w:r>
              <w:rPr>
                <w:rFonts w:ascii="Times New Roman" w:hAnsi="Times New Roman" w:eastAsia="Times New Roman" w:cs="Times New Roman"/>
                <w:sz w:val="26"/>
                <w:szCs w:val="26"/>
              </w:rPr>
              <w:t>2</w:t>
            </w:r>
          </w:hyperlink>
        </w:p>
        <w:p>
          <w:pPr>
            <w:spacing w:before="248" w:line="222" w:lineRule="auto"/>
            <w:tabs>
              <w:tab w:val="right" w:leader="dot" w:pos="9659"/>
            </w:tabs>
            <w:rPr>
              <w:rFonts w:ascii="Times New Roman" w:hAnsi="Times New Roman" w:eastAsia="Times New Roman" w:cs="Times New Roman"/>
              <w:sz w:val="26"/>
              <w:szCs w:val="26"/>
            </w:rPr>
          </w:pPr>
          <w:r>
            <w:rPr>
              <w:rFonts w:ascii="FangSong" w:hAnsi="FangSong" w:eastAsia="FangSong" w:cs="FangSong"/>
              <w:sz w:val="26"/>
              <w:szCs w:val="26"/>
              <w:spacing w:val="21"/>
            </w:rPr>
            <w:t>第五节</w:t>
          </w:r>
          <w:r>
            <w:rPr>
              <w:rFonts w:ascii="FangSong" w:hAnsi="FangSong" w:eastAsia="FangSong" w:cs="FangSong"/>
              <w:sz w:val="26"/>
              <w:szCs w:val="26"/>
              <w:spacing w:val="52"/>
            </w:rPr>
            <w:t xml:space="preserve"> </w:t>
          </w:r>
          <w:r>
            <w:rPr>
              <w:rFonts w:ascii="FangSong" w:hAnsi="FangSong" w:eastAsia="FangSong" w:cs="FangSong"/>
              <w:sz w:val="26"/>
              <w:szCs w:val="26"/>
              <w:spacing w:val="21"/>
            </w:rPr>
            <w:t>安全系统</w:t>
          </w:r>
          <w:r>
            <w:rPr>
              <w:rFonts w:ascii="FangSong" w:hAnsi="FangSong" w:eastAsia="FangSong" w:cs="FangSong"/>
              <w:sz w:val="26"/>
              <w:szCs w:val="26"/>
              <w:spacing w:val="-121"/>
            </w:rPr>
            <w:t xml:space="preserve"> </w:t>
          </w:r>
          <w:r>
            <w:rPr>
              <w:rFonts w:ascii="FangSong" w:hAnsi="FangSong" w:eastAsia="FangSong" w:cs="FangSong"/>
              <w:sz w:val="26"/>
              <w:szCs w:val="26"/>
            </w:rPr>
            <w:tab/>
          </w:r>
          <w:r>
            <w:rPr>
              <w:rFonts w:ascii="FangSong" w:hAnsi="FangSong" w:eastAsia="FangSong" w:cs="FangSong"/>
              <w:sz w:val="26"/>
              <w:szCs w:val="26"/>
              <w:spacing w:val="-1"/>
            </w:rPr>
            <w:t xml:space="preserve"> </w:t>
          </w:r>
          <w:hyperlink w:history="true" w:anchor="bookmark1">
            <w:r>
              <w:rPr>
                <w:rFonts w:ascii="Times New Roman" w:hAnsi="Times New Roman" w:eastAsia="Times New Roman" w:cs="Times New Roman"/>
                <w:sz w:val="26"/>
                <w:szCs w:val="26"/>
              </w:rPr>
              <w:t>3</w:t>
            </w:r>
          </w:hyperlink>
        </w:p>
        <w:p>
          <w:pPr>
            <w:ind w:left="3"/>
            <w:spacing w:before="242" w:line="220" w:lineRule="auto"/>
            <w:tabs>
              <w:tab w:val="right" w:leader="dot" w:pos="9652"/>
            </w:tabs>
            <w:rPr>
              <w:rFonts w:ascii="Times New Roman" w:hAnsi="Times New Roman" w:eastAsia="Times New Roman" w:cs="Times New Roman"/>
              <w:sz w:val="26"/>
              <w:szCs w:val="26"/>
            </w:rPr>
          </w:pPr>
          <w:r>
            <w:rPr>
              <w:rFonts w:ascii="FangSong" w:hAnsi="FangSong" w:eastAsia="FangSong" w:cs="FangSong"/>
              <w:sz w:val="26"/>
              <w:szCs w:val="26"/>
              <w:b/>
              <w:bCs/>
              <w:spacing w:val="25"/>
            </w:rPr>
            <w:t>第二章</w:t>
          </w:r>
          <w:r>
            <w:rPr>
              <w:rFonts w:ascii="FangSong" w:hAnsi="FangSong" w:eastAsia="FangSong" w:cs="FangSong"/>
              <w:sz w:val="26"/>
              <w:szCs w:val="26"/>
              <w:spacing w:val="25"/>
            </w:rPr>
            <w:t xml:space="preserve"> </w:t>
          </w:r>
          <w:r>
            <w:rPr>
              <w:rFonts w:ascii="FangSong" w:hAnsi="FangSong" w:eastAsia="FangSong" w:cs="FangSong"/>
              <w:sz w:val="26"/>
              <w:szCs w:val="26"/>
              <w:b/>
              <w:bCs/>
              <w:spacing w:val="25"/>
            </w:rPr>
            <w:t>煤与瓦斯突出危险性分析</w:t>
          </w:r>
          <w:r>
            <w:rPr>
              <w:rFonts w:ascii="FangSong" w:hAnsi="FangSong" w:eastAsia="FangSong" w:cs="FangSong"/>
              <w:sz w:val="26"/>
              <w:szCs w:val="26"/>
              <w:spacing w:val="-108"/>
            </w:rPr>
            <w:t xml:space="preserve"> </w:t>
          </w:r>
          <w:r>
            <w:rPr>
              <w:rFonts w:ascii="FangSong" w:hAnsi="FangSong" w:eastAsia="FangSong" w:cs="FangSong"/>
              <w:sz w:val="26"/>
              <w:szCs w:val="26"/>
            </w:rPr>
            <w:tab/>
          </w:r>
          <w:hyperlink w:history="true" w:anchor="bookmark11">
            <w:r>
              <w:rPr>
                <w:rFonts w:ascii="Times New Roman" w:hAnsi="Times New Roman" w:eastAsia="Times New Roman" w:cs="Times New Roman"/>
                <w:sz w:val="26"/>
                <w:szCs w:val="26"/>
                <w:b/>
                <w:bCs/>
                <w:spacing w:val="2"/>
              </w:rPr>
              <w:t>4</w:t>
            </w:r>
          </w:hyperlink>
        </w:p>
        <w:p>
          <w:pPr>
            <w:spacing w:before="264" w:line="220" w:lineRule="auto"/>
            <w:tabs>
              <w:tab w:val="right" w:leader="dot" w:pos="9665"/>
            </w:tabs>
            <w:rPr>
              <w:rFonts w:ascii="Times New Roman" w:hAnsi="Times New Roman" w:eastAsia="Times New Roman" w:cs="Times New Roman"/>
              <w:sz w:val="26"/>
              <w:szCs w:val="26"/>
            </w:rPr>
          </w:pPr>
          <w:r>
            <w:rPr>
              <w:rFonts w:ascii="FangSong" w:hAnsi="FangSong" w:eastAsia="FangSong" w:cs="FangSong"/>
              <w:sz w:val="26"/>
              <w:szCs w:val="26"/>
              <w:spacing w:val="22"/>
            </w:rPr>
            <w:t>第一节</w:t>
          </w:r>
          <w:r>
            <w:rPr>
              <w:rFonts w:ascii="FangSong" w:hAnsi="FangSong" w:eastAsia="FangSong" w:cs="FangSong"/>
              <w:sz w:val="26"/>
              <w:szCs w:val="26"/>
              <w:spacing w:val="22"/>
            </w:rPr>
            <w:t xml:space="preserve"> </w:t>
          </w:r>
          <w:r>
            <w:rPr>
              <w:rFonts w:ascii="FangSong" w:hAnsi="FangSong" w:eastAsia="FangSong" w:cs="FangSong"/>
              <w:sz w:val="26"/>
              <w:szCs w:val="26"/>
              <w:spacing w:val="22"/>
            </w:rPr>
            <w:t>煤层瓦斯基本参数</w:t>
          </w:r>
          <w:r>
            <w:rPr>
              <w:rFonts w:ascii="FangSong" w:hAnsi="FangSong" w:eastAsia="FangSong" w:cs="FangSong"/>
              <w:sz w:val="26"/>
              <w:szCs w:val="26"/>
              <w:spacing w:val="-115"/>
            </w:rPr>
            <w:t xml:space="preserve"> </w:t>
          </w:r>
          <w:r>
            <w:rPr>
              <w:rFonts w:ascii="FangSong" w:hAnsi="FangSong" w:eastAsia="FangSong" w:cs="FangSong"/>
              <w:sz w:val="26"/>
              <w:szCs w:val="26"/>
            </w:rPr>
            <w:tab/>
          </w:r>
          <w:r>
            <w:rPr>
              <w:rFonts w:ascii="FangSong" w:hAnsi="FangSong" w:eastAsia="FangSong" w:cs="FangSong"/>
              <w:sz w:val="26"/>
              <w:szCs w:val="26"/>
              <w:spacing w:val="-71"/>
            </w:rPr>
            <w:t xml:space="preserve"> </w:t>
          </w:r>
          <w:hyperlink w:history="true" w:anchor="bookmark12">
            <w:r>
              <w:rPr>
                <w:rFonts w:ascii="Times New Roman" w:hAnsi="Times New Roman" w:eastAsia="Times New Roman" w:cs="Times New Roman"/>
                <w:sz w:val="26"/>
                <w:szCs w:val="26"/>
              </w:rPr>
              <w:t>4</w:t>
            </w:r>
          </w:hyperlink>
        </w:p>
        <w:p>
          <w:pPr>
            <w:spacing w:before="260" w:line="220" w:lineRule="auto"/>
            <w:tabs>
              <w:tab w:val="right" w:leader="dot" w:pos="9665"/>
            </w:tabs>
            <w:rPr>
              <w:rFonts w:ascii="Times New Roman" w:hAnsi="Times New Roman" w:eastAsia="Times New Roman" w:cs="Times New Roman"/>
              <w:sz w:val="26"/>
              <w:szCs w:val="26"/>
            </w:rPr>
          </w:pPr>
          <w:r>
            <w:rPr>
              <w:rFonts w:ascii="FangSong" w:hAnsi="FangSong" w:eastAsia="FangSong" w:cs="FangSong"/>
              <w:sz w:val="26"/>
              <w:szCs w:val="26"/>
              <w:spacing w:val="23"/>
            </w:rPr>
            <w:t>第二节</w:t>
          </w:r>
          <w:r>
            <w:rPr>
              <w:rFonts w:ascii="FangSong" w:hAnsi="FangSong" w:eastAsia="FangSong" w:cs="FangSong"/>
              <w:sz w:val="26"/>
              <w:szCs w:val="26"/>
              <w:spacing w:val="23"/>
            </w:rPr>
            <w:t xml:space="preserve"> </w:t>
          </w:r>
          <w:r>
            <w:rPr>
              <w:rFonts w:ascii="FangSong" w:hAnsi="FangSong" w:eastAsia="FangSong" w:cs="FangSong"/>
              <w:sz w:val="26"/>
              <w:szCs w:val="26"/>
              <w:spacing w:val="23"/>
            </w:rPr>
            <w:t>邻近矿井煤与瓦斯突出危险性</w:t>
          </w:r>
          <w:r>
            <w:rPr>
              <w:rFonts w:ascii="FangSong" w:hAnsi="FangSong" w:eastAsia="FangSong" w:cs="FangSong"/>
              <w:sz w:val="26"/>
              <w:szCs w:val="26"/>
              <w:spacing w:val="-113"/>
            </w:rPr>
            <w:t xml:space="preserve"> </w:t>
          </w:r>
          <w:r>
            <w:rPr>
              <w:rFonts w:ascii="FangSong" w:hAnsi="FangSong" w:eastAsia="FangSong" w:cs="FangSong"/>
              <w:sz w:val="26"/>
              <w:szCs w:val="26"/>
            </w:rPr>
            <w:tab/>
          </w:r>
          <w:hyperlink w:history="true" w:anchor="bookmark13">
            <w:r>
              <w:rPr>
                <w:rFonts w:ascii="Times New Roman" w:hAnsi="Times New Roman" w:eastAsia="Times New Roman" w:cs="Times New Roman"/>
                <w:sz w:val="26"/>
                <w:szCs w:val="26"/>
              </w:rPr>
              <w:t>4</w:t>
            </w:r>
          </w:hyperlink>
        </w:p>
        <w:p>
          <w:pPr>
            <w:spacing w:before="250" w:line="220" w:lineRule="auto"/>
            <w:tabs>
              <w:tab w:val="right" w:leader="dot" w:pos="9655"/>
            </w:tabs>
            <w:rPr>
              <w:rFonts w:ascii="Times New Roman" w:hAnsi="Times New Roman" w:eastAsia="Times New Roman" w:cs="Times New Roman"/>
              <w:sz w:val="26"/>
              <w:szCs w:val="26"/>
            </w:rPr>
          </w:pPr>
          <w:r>
            <w:rPr>
              <w:rFonts w:ascii="FangSong" w:hAnsi="FangSong" w:eastAsia="FangSong" w:cs="FangSong"/>
              <w:sz w:val="26"/>
              <w:szCs w:val="26"/>
              <w:spacing w:val="27"/>
            </w:rPr>
            <w:t>第三节</w:t>
          </w:r>
          <w:r>
            <w:rPr>
              <w:rFonts w:ascii="FangSong" w:hAnsi="FangSong" w:eastAsia="FangSong" w:cs="FangSong"/>
              <w:sz w:val="26"/>
              <w:szCs w:val="26"/>
              <w:spacing w:val="27"/>
            </w:rPr>
            <w:t xml:space="preserve"> </w:t>
          </w:r>
          <w:r>
            <w:rPr>
              <w:rFonts w:ascii="FangSong" w:hAnsi="FangSong" w:eastAsia="FangSong" w:cs="FangSong"/>
              <w:sz w:val="26"/>
              <w:szCs w:val="26"/>
              <w:spacing w:val="27"/>
            </w:rPr>
            <w:t>本矿井煤与瓦斯突出危险性评价</w:t>
          </w:r>
          <w:r>
            <w:rPr>
              <w:rFonts w:ascii="FangSong" w:hAnsi="FangSong" w:eastAsia="FangSong" w:cs="FangSong"/>
              <w:sz w:val="26"/>
              <w:szCs w:val="26"/>
              <w:spacing w:val="-108"/>
            </w:rPr>
            <w:t xml:space="preserve"> </w:t>
          </w:r>
          <w:r>
            <w:rPr>
              <w:rFonts w:ascii="FangSong" w:hAnsi="FangSong" w:eastAsia="FangSong" w:cs="FangSong"/>
              <w:sz w:val="26"/>
              <w:szCs w:val="26"/>
            </w:rPr>
            <w:tab/>
          </w:r>
          <w:r>
            <w:rPr>
              <w:rFonts w:ascii="FangSong" w:hAnsi="FangSong" w:eastAsia="FangSong" w:cs="FangSong"/>
              <w:sz w:val="26"/>
              <w:szCs w:val="26"/>
              <w:spacing w:val="-51"/>
            </w:rPr>
            <w:t xml:space="preserve"> </w:t>
          </w:r>
          <w:hyperlink w:history="true" w:anchor="bookmark14">
            <w:r>
              <w:rPr>
                <w:rFonts w:ascii="Times New Roman" w:hAnsi="Times New Roman" w:eastAsia="Times New Roman" w:cs="Times New Roman"/>
                <w:sz w:val="26"/>
                <w:szCs w:val="26"/>
              </w:rPr>
              <w:t>4</w:t>
            </w:r>
          </w:hyperlink>
        </w:p>
        <w:p>
          <w:pPr>
            <w:spacing w:before="240" w:line="220" w:lineRule="auto"/>
            <w:tabs>
              <w:tab w:val="right" w:leader="dot" w:pos="9655"/>
            </w:tabs>
            <w:rPr>
              <w:rFonts w:ascii="Times New Roman" w:hAnsi="Times New Roman" w:eastAsia="Times New Roman" w:cs="Times New Roman"/>
              <w:sz w:val="26"/>
              <w:szCs w:val="26"/>
            </w:rPr>
          </w:pPr>
          <w:r>
            <w:rPr>
              <w:rFonts w:ascii="FangSong" w:hAnsi="FangSong" w:eastAsia="FangSong" w:cs="FangSong"/>
              <w:sz w:val="26"/>
              <w:szCs w:val="26"/>
              <w:spacing w:val="21"/>
            </w:rPr>
            <w:t>第四节</w:t>
          </w:r>
          <w:r>
            <w:rPr>
              <w:rFonts w:ascii="FangSong" w:hAnsi="FangSong" w:eastAsia="FangSong" w:cs="FangSong"/>
              <w:sz w:val="26"/>
              <w:szCs w:val="26"/>
              <w:spacing w:val="21"/>
            </w:rPr>
            <w:t xml:space="preserve"> </w:t>
          </w:r>
          <w:r>
            <w:rPr>
              <w:rFonts w:ascii="FangSong" w:hAnsi="FangSong" w:eastAsia="FangSong" w:cs="FangSong"/>
              <w:sz w:val="26"/>
              <w:szCs w:val="26"/>
              <w:spacing w:val="21"/>
            </w:rPr>
            <w:t>突出矿井的新水平和新采区区域突出危险性评估</w:t>
          </w:r>
          <w:r>
            <w:rPr>
              <w:rFonts w:ascii="FangSong" w:hAnsi="FangSong" w:eastAsia="FangSong" w:cs="FangSong"/>
              <w:sz w:val="26"/>
              <w:szCs w:val="26"/>
              <w:spacing w:val="-117"/>
            </w:rPr>
            <w:t xml:space="preserve"> </w:t>
          </w:r>
          <w:r>
            <w:rPr>
              <w:rFonts w:ascii="FangSong" w:hAnsi="FangSong" w:eastAsia="FangSong" w:cs="FangSong"/>
              <w:sz w:val="26"/>
              <w:szCs w:val="26"/>
            </w:rPr>
            <w:tab/>
          </w:r>
          <w:r>
            <w:rPr>
              <w:rFonts w:ascii="FangSong" w:hAnsi="FangSong" w:eastAsia="FangSong" w:cs="FangSong"/>
              <w:sz w:val="26"/>
              <w:szCs w:val="26"/>
              <w:spacing w:val="-81"/>
            </w:rPr>
            <w:t xml:space="preserve"> </w:t>
          </w:r>
          <w:hyperlink w:history="true" w:anchor="bookmark15">
            <w:r>
              <w:rPr>
                <w:rFonts w:ascii="Times New Roman" w:hAnsi="Times New Roman" w:eastAsia="Times New Roman" w:cs="Times New Roman"/>
                <w:sz w:val="26"/>
                <w:szCs w:val="26"/>
              </w:rPr>
              <w:t>4</w:t>
            </w:r>
          </w:hyperlink>
        </w:p>
        <w:p>
          <w:pPr>
            <w:ind w:left="3"/>
            <w:spacing w:before="260" w:line="222" w:lineRule="auto"/>
            <w:tabs>
              <w:tab w:val="right" w:leader="dot" w:pos="9580"/>
            </w:tabs>
            <w:rPr>
              <w:rFonts w:ascii="Times New Roman" w:hAnsi="Times New Roman" w:eastAsia="Times New Roman" w:cs="Times New Roman"/>
              <w:sz w:val="26"/>
              <w:szCs w:val="26"/>
            </w:rPr>
          </w:pPr>
          <w:r>
            <w:rPr>
              <w:rFonts w:ascii="FangSong" w:hAnsi="FangSong" w:eastAsia="FangSong" w:cs="FangSong"/>
              <w:sz w:val="26"/>
              <w:szCs w:val="26"/>
              <w:b/>
              <w:bCs/>
              <w:spacing w:val="28"/>
            </w:rPr>
            <w:t>第三章</w:t>
          </w:r>
          <w:r>
            <w:rPr>
              <w:rFonts w:ascii="FangSong" w:hAnsi="FangSong" w:eastAsia="FangSong" w:cs="FangSong"/>
              <w:sz w:val="26"/>
              <w:szCs w:val="26"/>
              <w:spacing w:val="73"/>
            </w:rPr>
            <w:t xml:space="preserve"> </w:t>
          </w:r>
          <w:r>
            <w:rPr>
              <w:rFonts w:ascii="FangSong" w:hAnsi="FangSong" w:eastAsia="FangSong" w:cs="FangSong"/>
              <w:sz w:val="26"/>
              <w:szCs w:val="26"/>
              <w:b/>
              <w:bCs/>
              <w:spacing w:val="28"/>
            </w:rPr>
            <w:t>区域综合防突措施</w:t>
          </w:r>
          <w:r>
            <w:rPr>
              <w:rFonts w:ascii="FangSong" w:hAnsi="FangSong" w:eastAsia="FangSong" w:cs="FangSong"/>
              <w:sz w:val="26"/>
              <w:szCs w:val="26"/>
              <w:spacing w:val="-116"/>
            </w:rPr>
            <w:t xml:space="preserve"> </w:t>
          </w:r>
          <w:r>
            <w:rPr>
              <w:rFonts w:ascii="FangSong" w:hAnsi="FangSong" w:eastAsia="FangSong" w:cs="FangSong"/>
              <w:sz w:val="26"/>
              <w:szCs w:val="26"/>
            </w:rPr>
            <w:tab/>
          </w:r>
          <w:r>
            <w:rPr>
              <w:rFonts w:ascii="FangSong" w:hAnsi="FangSong" w:eastAsia="FangSong" w:cs="FangSong"/>
              <w:sz w:val="26"/>
              <w:szCs w:val="26"/>
              <w:spacing w:val="-48"/>
            </w:rPr>
            <w:t xml:space="preserve"> </w:t>
          </w:r>
          <w:hyperlink w:history="true" w:anchor="bookmark16">
            <w:r>
              <w:rPr>
                <w:rFonts w:ascii="Times New Roman" w:hAnsi="Times New Roman" w:eastAsia="Times New Roman" w:cs="Times New Roman"/>
                <w:sz w:val="26"/>
                <w:szCs w:val="26"/>
                <w:b/>
                <w:bCs/>
              </w:rPr>
              <w:t>5</w:t>
            </w:r>
          </w:hyperlink>
        </w:p>
        <w:p>
          <w:pPr>
            <w:spacing w:before="228" w:line="220" w:lineRule="auto"/>
            <w:tabs>
              <w:tab w:val="right" w:leader="dot" w:pos="9637"/>
            </w:tabs>
            <w:rPr>
              <w:rFonts w:ascii="Times New Roman" w:hAnsi="Times New Roman" w:eastAsia="Times New Roman" w:cs="Times New Roman"/>
              <w:sz w:val="26"/>
              <w:szCs w:val="26"/>
            </w:rPr>
          </w:pPr>
          <w:r>
            <w:rPr>
              <w:rFonts w:ascii="FangSong" w:hAnsi="FangSong" w:eastAsia="FangSong" w:cs="FangSong"/>
              <w:sz w:val="26"/>
              <w:szCs w:val="26"/>
              <w:spacing w:val="22"/>
            </w:rPr>
            <w:t>第一节</w:t>
          </w:r>
          <w:r>
            <w:rPr>
              <w:rFonts w:ascii="FangSong" w:hAnsi="FangSong" w:eastAsia="FangSong" w:cs="FangSong"/>
              <w:sz w:val="26"/>
              <w:szCs w:val="26"/>
              <w:spacing w:val="51"/>
            </w:rPr>
            <w:t xml:space="preserve"> </w:t>
          </w:r>
          <w:r>
            <w:rPr>
              <w:rFonts w:ascii="FangSong" w:hAnsi="FangSong" w:eastAsia="FangSong" w:cs="FangSong"/>
              <w:sz w:val="26"/>
              <w:szCs w:val="26"/>
              <w:spacing w:val="22"/>
            </w:rPr>
            <w:t>区域突出危险性预测</w:t>
          </w:r>
          <w:r>
            <w:rPr>
              <w:rFonts w:ascii="FangSong" w:hAnsi="FangSong" w:eastAsia="FangSong" w:cs="FangSong"/>
              <w:sz w:val="26"/>
              <w:szCs w:val="26"/>
            </w:rPr>
            <w:tab/>
          </w:r>
          <w:hyperlink w:history="true" w:anchor="bookmark17">
            <w:r>
              <w:rPr>
                <w:rFonts w:ascii="Times New Roman" w:hAnsi="Times New Roman" w:eastAsia="Times New Roman" w:cs="Times New Roman"/>
                <w:sz w:val="26"/>
                <w:szCs w:val="26"/>
              </w:rPr>
              <w:t>5</w:t>
            </w:r>
          </w:hyperlink>
        </w:p>
        <w:p>
          <w:pPr>
            <w:spacing w:before="261" w:line="222" w:lineRule="auto"/>
            <w:tabs>
              <w:tab w:val="right" w:leader="dot" w:pos="9627"/>
            </w:tabs>
            <w:rPr>
              <w:rFonts w:ascii="Times New Roman" w:hAnsi="Times New Roman" w:eastAsia="Times New Roman" w:cs="Times New Roman"/>
              <w:sz w:val="26"/>
              <w:szCs w:val="26"/>
            </w:rPr>
          </w:pPr>
          <w:r>
            <w:rPr>
              <w:rFonts w:ascii="FangSong" w:hAnsi="FangSong" w:eastAsia="FangSong" w:cs="FangSong"/>
              <w:sz w:val="26"/>
              <w:szCs w:val="26"/>
              <w:spacing w:val="21"/>
            </w:rPr>
            <w:t>第二节</w:t>
          </w:r>
          <w:r>
            <w:rPr>
              <w:rFonts w:ascii="FangSong" w:hAnsi="FangSong" w:eastAsia="FangSong" w:cs="FangSong"/>
              <w:sz w:val="26"/>
              <w:szCs w:val="26"/>
              <w:spacing w:val="60"/>
            </w:rPr>
            <w:t xml:space="preserve"> </w:t>
          </w:r>
          <w:r>
            <w:rPr>
              <w:rFonts w:ascii="FangSong" w:hAnsi="FangSong" w:eastAsia="FangSong" w:cs="FangSong"/>
              <w:sz w:val="26"/>
              <w:szCs w:val="26"/>
              <w:spacing w:val="21"/>
            </w:rPr>
            <w:t>区域防突措施</w:t>
          </w:r>
          <w:r>
            <w:rPr>
              <w:rFonts w:ascii="FangSong" w:hAnsi="FangSong" w:eastAsia="FangSong" w:cs="FangSong"/>
              <w:sz w:val="26"/>
              <w:szCs w:val="26"/>
              <w:spacing w:val="-121"/>
            </w:rPr>
            <w:t xml:space="preserve"> </w:t>
          </w:r>
          <w:r>
            <w:rPr>
              <w:rFonts w:ascii="FangSong" w:hAnsi="FangSong" w:eastAsia="FangSong" w:cs="FangSong"/>
              <w:sz w:val="26"/>
              <w:szCs w:val="26"/>
            </w:rPr>
            <w:tab/>
          </w:r>
          <w:r>
            <w:rPr>
              <w:rFonts w:ascii="FangSong" w:hAnsi="FangSong" w:eastAsia="FangSong" w:cs="FangSong"/>
              <w:sz w:val="26"/>
              <w:szCs w:val="26"/>
              <w:spacing w:val="-80"/>
            </w:rPr>
            <w:t xml:space="preserve"> </w:t>
          </w:r>
          <w:hyperlink w:history="true" w:anchor="bookmark18">
            <w:r>
              <w:rPr>
                <w:rFonts w:ascii="Times New Roman" w:hAnsi="Times New Roman" w:eastAsia="Times New Roman" w:cs="Times New Roman"/>
                <w:sz w:val="26"/>
                <w:szCs w:val="26"/>
              </w:rPr>
              <w:t>5</w:t>
            </w:r>
          </w:hyperlink>
        </w:p>
        <w:p>
          <w:pPr>
            <w:spacing w:before="256" w:line="220" w:lineRule="auto"/>
            <w:tabs>
              <w:tab w:val="right" w:leader="dot" w:pos="9627"/>
            </w:tabs>
            <w:rPr>
              <w:rFonts w:ascii="Times New Roman" w:hAnsi="Times New Roman" w:eastAsia="Times New Roman" w:cs="Times New Roman"/>
              <w:sz w:val="26"/>
              <w:szCs w:val="26"/>
            </w:rPr>
          </w:pPr>
          <w:r>
            <w:rPr>
              <w:rFonts w:ascii="FangSong" w:hAnsi="FangSong" w:eastAsia="FangSong" w:cs="FangSong"/>
              <w:sz w:val="26"/>
              <w:szCs w:val="26"/>
              <w:spacing w:val="19"/>
            </w:rPr>
            <w:t>第三节</w:t>
          </w:r>
          <w:r>
            <w:rPr>
              <w:rFonts w:ascii="FangSong" w:hAnsi="FangSong" w:eastAsia="FangSong" w:cs="FangSong"/>
              <w:sz w:val="26"/>
              <w:szCs w:val="26"/>
              <w:spacing w:val="57"/>
            </w:rPr>
            <w:t xml:space="preserve"> </w:t>
          </w:r>
          <w:r>
            <w:rPr>
              <w:rFonts w:ascii="FangSong" w:hAnsi="FangSong" w:eastAsia="FangSong" w:cs="FangSong"/>
              <w:sz w:val="26"/>
              <w:szCs w:val="26"/>
              <w:spacing w:val="19"/>
            </w:rPr>
            <w:t>区域防突措施效果检验</w:t>
          </w:r>
          <w:r>
            <w:rPr>
              <w:rFonts w:ascii="FangSong" w:hAnsi="FangSong" w:eastAsia="FangSong" w:cs="FangSong"/>
              <w:sz w:val="26"/>
              <w:szCs w:val="26"/>
              <w:spacing w:val="-115"/>
            </w:rPr>
            <w:t xml:space="preserve"> </w:t>
          </w:r>
          <w:r>
            <w:rPr>
              <w:rFonts w:ascii="FangSong" w:hAnsi="FangSong" w:eastAsia="FangSong" w:cs="FangSong"/>
              <w:sz w:val="26"/>
              <w:szCs w:val="26"/>
            </w:rPr>
            <w:tab/>
          </w:r>
          <w:hyperlink w:history="true" w:anchor="bookmark19">
            <w:r>
              <w:rPr>
                <w:rFonts w:ascii="Times New Roman" w:hAnsi="Times New Roman" w:eastAsia="Times New Roman" w:cs="Times New Roman"/>
                <w:sz w:val="26"/>
                <w:szCs w:val="26"/>
              </w:rPr>
              <w:t>6</w:t>
            </w:r>
          </w:hyperlink>
        </w:p>
        <w:p>
          <w:pPr>
            <w:spacing w:before="232" w:line="222" w:lineRule="auto"/>
            <w:tabs>
              <w:tab w:val="right" w:leader="dot" w:pos="9670"/>
            </w:tabs>
            <w:rPr>
              <w:rFonts w:ascii="Times New Roman" w:hAnsi="Times New Roman" w:eastAsia="Times New Roman" w:cs="Times New Roman"/>
              <w:sz w:val="26"/>
              <w:szCs w:val="26"/>
            </w:rPr>
          </w:pPr>
          <w:r>
            <w:rPr>
              <w:rFonts w:ascii="FangSong" w:hAnsi="FangSong" w:eastAsia="FangSong" w:cs="FangSong"/>
              <w:sz w:val="26"/>
              <w:szCs w:val="26"/>
              <w:spacing w:val="22"/>
            </w:rPr>
            <w:t>第四节</w:t>
          </w:r>
          <w:r>
            <w:rPr>
              <w:rFonts w:ascii="FangSong" w:hAnsi="FangSong" w:eastAsia="FangSong" w:cs="FangSong"/>
              <w:sz w:val="26"/>
              <w:szCs w:val="26"/>
              <w:spacing w:val="72"/>
            </w:rPr>
            <w:t xml:space="preserve"> </w:t>
          </w:r>
          <w:r>
            <w:rPr>
              <w:rFonts w:ascii="FangSong" w:hAnsi="FangSong" w:eastAsia="FangSong" w:cs="FangSong"/>
              <w:sz w:val="26"/>
              <w:szCs w:val="26"/>
              <w:spacing w:val="22"/>
            </w:rPr>
            <w:t>区域验证</w:t>
          </w:r>
          <w:r>
            <w:rPr>
              <w:rFonts w:ascii="FangSong" w:hAnsi="FangSong" w:eastAsia="FangSong" w:cs="FangSong"/>
              <w:sz w:val="26"/>
              <w:szCs w:val="26"/>
              <w:spacing w:val="-118"/>
            </w:rPr>
            <w:t xml:space="preserve"> </w:t>
          </w:r>
          <w:r>
            <w:rPr>
              <w:rFonts w:ascii="FangSong" w:hAnsi="FangSong" w:eastAsia="FangSong" w:cs="FangSong"/>
              <w:sz w:val="26"/>
              <w:szCs w:val="26"/>
            </w:rPr>
            <w:tab/>
          </w:r>
          <w:r>
            <w:rPr>
              <w:rFonts w:ascii="FangSong" w:hAnsi="FangSong" w:eastAsia="FangSong" w:cs="FangSong"/>
              <w:sz w:val="26"/>
              <w:szCs w:val="26"/>
              <w:spacing w:val="-21"/>
            </w:rPr>
            <w:t xml:space="preserve"> </w:t>
          </w:r>
          <w:hyperlink w:history="true" w:anchor="bookmark20">
            <w:r>
              <w:rPr>
                <w:rFonts w:ascii="Times New Roman" w:hAnsi="Times New Roman" w:eastAsia="Times New Roman" w:cs="Times New Roman"/>
                <w:sz w:val="26"/>
                <w:szCs w:val="26"/>
              </w:rPr>
              <w:t>7</w:t>
            </w:r>
          </w:hyperlink>
        </w:p>
        <w:p>
          <w:pPr>
            <w:ind w:left="3"/>
            <w:spacing w:before="255" w:line="222" w:lineRule="auto"/>
            <w:tabs>
              <w:tab w:val="right" w:leader="dot" w:pos="9560"/>
            </w:tabs>
            <w:rPr>
              <w:rFonts w:ascii="Times New Roman" w:hAnsi="Times New Roman" w:eastAsia="Times New Roman" w:cs="Times New Roman"/>
              <w:sz w:val="26"/>
              <w:szCs w:val="26"/>
            </w:rPr>
          </w:pPr>
          <w:r>
            <w:rPr>
              <w:rFonts w:ascii="FangSong" w:hAnsi="FangSong" w:eastAsia="FangSong" w:cs="FangSong"/>
              <w:sz w:val="26"/>
              <w:szCs w:val="26"/>
              <w:b/>
              <w:bCs/>
              <w:spacing w:val="26"/>
            </w:rPr>
            <w:t>第四章</w:t>
          </w:r>
          <w:r>
            <w:rPr>
              <w:rFonts w:ascii="FangSong" w:hAnsi="FangSong" w:eastAsia="FangSong" w:cs="FangSong"/>
              <w:sz w:val="26"/>
              <w:szCs w:val="26"/>
              <w:spacing w:val="45"/>
            </w:rPr>
            <w:t xml:space="preserve"> </w:t>
          </w:r>
          <w:r>
            <w:rPr>
              <w:rFonts w:ascii="FangSong" w:hAnsi="FangSong" w:eastAsia="FangSong" w:cs="FangSong"/>
              <w:sz w:val="26"/>
              <w:szCs w:val="26"/>
              <w:b/>
              <w:bCs/>
              <w:spacing w:val="26"/>
            </w:rPr>
            <w:t>局部综合防突措施</w:t>
          </w:r>
          <w:r>
            <w:rPr>
              <w:rFonts w:ascii="FangSong" w:hAnsi="FangSong" w:eastAsia="FangSong" w:cs="FangSong"/>
              <w:sz w:val="26"/>
              <w:szCs w:val="26"/>
              <w:spacing w:val="-116"/>
            </w:rPr>
            <w:t xml:space="preserve"> </w:t>
          </w:r>
          <w:r>
            <w:rPr>
              <w:rFonts w:ascii="FangSong" w:hAnsi="FangSong" w:eastAsia="FangSong" w:cs="FangSong"/>
              <w:sz w:val="26"/>
              <w:szCs w:val="26"/>
            </w:rPr>
            <w:tab/>
          </w:r>
          <w:r>
            <w:rPr>
              <w:rFonts w:ascii="FangSong" w:hAnsi="FangSong" w:eastAsia="FangSong" w:cs="FangSong"/>
              <w:sz w:val="26"/>
              <w:szCs w:val="26"/>
              <w:spacing w:val="-18"/>
            </w:rPr>
            <w:t xml:space="preserve"> </w:t>
          </w:r>
          <w:hyperlink w:history="true" w:anchor="bookmark21">
            <w:r>
              <w:rPr>
                <w:rFonts w:ascii="Times New Roman" w:hAnsi="Times New Roman" w:eastAsia="Times New Roman" w:cs="Times New Roman"/>
                <w:sz w:val="26"/>
                <w:szCs w:val="26"/>
                <w:b/>
                <w:bCs/>
              </w:rPr>
              <w:t>8</w:t>
            </w:r>
          </w:hyperlink>
        </w:p>
        <w:p>
          <w:pPr>
            <w:spacing w:before="258" w:line="220" w:lineRule="auto"/>
            <w:tabs>
              <w:tab w:val="right" w:leader="dot" w:pos="9644"/>
            </w:tabs>
            <w:rPr>
              <w:rFonts w:ascii="Times New Roman" w:hAnsi="Times New Roman" w:eastAsia="Times New Roman" w:cs="Times New Roman"/>
              <w:sz w:val="26"/>
              <w:szCs w:val="26"/>
            </w:rPr>
          </w:pPr>
          <w:r>
            <w:rPr>
              <w:rFonts w:ascii="FangSong" w:hAnsi="FangSong" w:eastAsia="FangSong" w:cs="FangSong"/>
              <w:sz w:val="26"/>
              <w:szCs w:val="26"/>
              <w:spacing w:val="21"/>
            </w:rPr>
            <w:t>第一节</w:t>
          </w:r>
          <w:r>
            <w:rPr>
              <w:rFonts w:ascii="FangSong" w:hAnsi="FangSong" w:eastAsia="FangSong" w:cs="FangSong"/>
              <w:sz w:val="26"/>
              <w:szCs w:val="26"/>
              <w:spacing w:val="21"/>
            </w:rPr>
            <w:t xml:space="preserve"> </w:t>
          </w:r>
          <w:r>
            <w:rPr>
              <w:rFonts w:ascii="FangSong" w:hAnsi="FangSong" w:eastAsia="FangSong" w:cs="FangSong"/>
              <w:sz w:val="26"/>
              <w:szCs w:val="26"/>
              <w:spacing w:val="21"/>
            </w:rPr>
            <w:t>局部综合防突工作程序和要求</w:t>
          </w:r>
          <w:r>
            <w:rPr>
              <w:rFonts w:ascii="FangSong" w:hAnsi="FangSong" w:eastAsia="FangSong" w:cs="FangSong"/>
              <w:sz w:val="26"/>
              <w:szCs w:val="26"/>
              <w:spacing w:val="-109"/>
            </w:rPr>
            <w:t xml:space="preserve"> </w:t>
          </w:r>
          <w:r>
            <w:rPr>
              <w:rFonts w:ascii="FangSong" w:hAnsi="FangSong" w:eastAsia="FangSong" w:cs="FangSong"/>
              <w:sz w:val="26"/>
              <w:szCs w:val="26"/>
            </w:rPr>
            <w:tab/>
          </w:r>
          <w:hyperlink w:history="true" w:anchor="bookmark22">
            <w:r>
              <w:rPr>
                <w:rFonts w:ascii="Times New Roman" w:hAnsi="Times New Roman" w:eastAsia="Times New Roman" w:cs="Times New Roman"/>
                <w:sz w:val="26"/>
                <w:szCs w:val="26"/>
              </w:rPr>
              <w:t>8</w:t>
            </w:r>
          </w:hyperlink>
        </w:p>
        <w:p>
          <w:pPr>
            <w:spacing w:before="270" w:line="220" w:lineRule="auto"/>
            <w:tabs>
              <w:tab w:val="right" w:leader="dot" w:pos="9644"/>
            </w:tabs>
            <w:rPr>
              <w:rFonts w:ascii="Times New Roman" w:hAnsi="Times New Roman" w:eastAsia="Times New Roman" w:cs="Times New Roman"/>
              <w:sz w:val="26"/>
              <w:szCs w:val="26"/>
            </w:rPr>
          </w:pPr>
          <w:r>
            <w:rPr>
              <w:rFonts w:ascii="FangSong" w:hAnsi="FangSong" w:eastAsia="FangSong" w:cs="FangSong"/>
              <w:sz w:val="26"/>
              <w:szCs w:val="26"/>
              <w:spacing w:val="14"/>
            </w:rPr>
            <w:t>一</w:t>
          </w:r>
          <w:r>
            <w:rPr>
              <w:rFonts w:ascii="FangSong" w:hAnsi="FangSong" w:eastAsia="FangSong" w:cs="FangSong"/>
              <w:sz w:val="26"/>
              <w:szCs w:val="26"/>
              <w:spacing w:val="-78"/>
            </w:rPr>
            <w:t xml:space="preserve"> </w:t>
          </w:r>
          <w:r>
            <w:rPr>
              <w:rFonts w:ascii="FangSong" w:hAnsi="FangSong" w:eastAsia="FangSong" w:cs="FangSong"/>
              <w:sz w:val="26"/>
              <w:szCs w:val="26"/>
              <w:spacing w:val="14"/>
            </w:rPr>
            <w:t>、工作面预测范围及预测结果</w:t>
          </w:r>
          <w:r>
            <w:rPr>
              <w:rFonts w:ascii="FangSong" w:hAnsi="FangSong" w:eastAsia="FangSong" w:cs="FangSong"/>
              <w:sz w:val="26"/>
              <w:szCs w:val="26"/>
              <w:spacing w:val="-120"/>
            </w:rPr>
            <w:t xml:space="preserve"> </w:t>
          </w:r>
          <w:r>
            <w:rPr>
              <w:rFonts w:ascii="FangSong" w:hAnsi="FangSong" w:eastAsia="FangSong" w:cs="FangSong"/>
              <w:sz w:val="26"/>
              <w:szCs w:val="26"/>
            </w:rPr>
            <w:tab/>
          </w:r>
          <w:hyperlink w:history="true" w:anchor="bookmark23">
            <w:r>
              <w:rPr>
                <w:rFonts w:ascii="Times New Roman" w:hAnsi="Times New Roman" w:eastAsia="Times New Roman" w:cs="Times New Roman"/>
                <w:sz w:val="26"/>
                <w:szCs w:val="26"/>
              </w:rPr>
              <w:t>8</w:t>
            </w:r>
          </w:hyperlink>
        </w:p>
        <w:p>
          <w:pPr>
            <w:spacing w:before="241" w:line="220" w:lineRule="auto"/>
            <w:tabs>
              <w:tab w:val="right" w:leader="dot" w:pos="9634"/>
            </w:tabs>
            <w:rPr>
              <w:rFonts w:ascii="Times New Roman" w:hAnsi="Times New Roman" w:eastAsia="Times New Roman" w:cs="Times New Roman"/>
              <w:sz w:val="26"/>
              <w:szCs w:val="26"/>
            </w:rPr>
          </w:pPr>
          <w:r>
            <w:rPr>
              <w:rFonts w:ascii="FangSong" w:hAnsi="FangSong" w:eastAsia="FangSong" w:cs="FangSong"/>
              <w:sz w:val="26"/>
              <w:szCs w:val="26"/>
              <w:spacing w:val="22"/>
            </w:rPr>
            <w:t>第二节</w:t>
          </w:r>
          <w:r>
            <w:rPr>
              <w:rFonts w:ascii="FangSong" w:hAnsi="FangSong" w:eastAsia="FangSong" w:cs="FangSong"/>
              <w:sz w:val="26"/>
              <w:szCs w:val="26"/>
              <w:spacing w:val="22"/>
            </w:rPr>
            <w:t xml:space="preserve"> </w:t>
          </w:r>
          <w:r>
            <w:rPr>
              <w:rFonts w:ascii="FangSong" w:hAnsi="FangSong" w:eastAsia="FangSong" w:cs="FangSong"/>
              <w:sz w:val="26"/>
              <w:szCs w:val="26"/>
              <w:spacing w:val="22"/>
            </w:rPr>
            <w:t>工作面突出危险性预测</w:t>
          </w:r>
          <w:r>
            <w:rPr>
              <w:rFonts w:ascii="FangSong" w:hAnsi="FangSong" w:eastAsia="FangSong" w:cs="FangSong"/>
              <w:sz w:val="26"/>
              <w:szCs w:val="26"/>
            </w:rPr>
            <w:tab/>
          </w:r>
          <w:hyperlink w:history="true" w:anchor="bookmark24">
            <w:r>
              <w:rPr>
                <w:rFonts w:ascii="Times New Roman" w:hAnsi="Times New Roman" w:eastAsia="Times New Roman" w:cs="Times New Roman"/>
                <w:sz w:val="26"/>
                <w:szCs w:val="26"/>
              </w:rPr>
              <w:t>8</w:t>
            </w:r>
          </w:hyperlink>
        </w:p>
      </w:sdtContent>
    </w:sdt>
    <w:p>
      <w:pPr>
        <w:spacing w:line="220" w:lineRule="auto"/>
        <w:sectPr>
          <w:headerReference w:type="default" r:id="rId5"/>
          <w:footerReference w:type="default" r:id="rId6"/>
          <w:pgSz w:w="11900" w:h="16940"/>
          <w:pgMar w:top="400" w:right="1130" w:bottom="941" w:left="1080" w:header="0" w:footer="706" w:gutter="0"/>
        </w:sectPr>
        <w:rPr>
          <w:rFonts w:ascii="Times New Roman" w:hAnsi="Times New Roman" w:eastAsia="Times New Roman" w:cs="Times New Roman"/>
          <w:sz w:val="26"/>
          <w:szCs w:val="26"/>
        </w:rPr>
      </w:pPr>
    </w:p>
    <w:p>
      <w:pPr>
        <w:spacing w:line="274" w:lineRule="auto"/>
        <w:rPr>
          <w:rFonts w:ascii="Arial"/>
          <w:sz w:val="21"/>
        </w:rPr>
      </w:pPr>
      <w:r/>
    </w:p>
    <w:p>
      <w:pPr>
        <w:pStyle w:val="BodyText"/>
        <w:ind w:left="2"/>
        <w:spacing w:before="59" w:line="219" w:lineRule="auto"/>
        <w:rPr>
          <w:sz w:val="18"/>
          <w:szCs w:val="18"/>
        </w:rPr>
      </w:pPr>
      <w:r>
        <w:rPr>
          <w:sz w:val="18"/>
          <w:szCs w:val="18"/>
          <w:b/>
          <w:bCs/>
        </w:rPr>
        <w:t>XX</w:t>
      </w:r>
      <w:r>
        <w:rPr>
          <w:sz w:val="18"/>
          <w:szCs w:val="18"/>
          <w:b/>
          <w:bCs/>
          <w:spacing w:val="10"/>
        </w:rPr>
        <w:t>矿井防突专项设计</w:t>
      </w:r>
    </w:p>
    <w:p>
      <w:pPr>
        <w:spacing w:line="304" w:lineRule="auto"/>
        <w:rPr>
          <w:rFonts w:ascii="Arial"/>
          <w:sz w:val="21"/>
        </w:rPr>
      </w:pPr>
      <w:r/>
    </w:p>
    <w:p>
      <w:pPr>
        <w:spacing w:line="304" w:lineRule="auto"/>
        <w:rPr>
          <w:rFonts w:ascii="Arial"/>
          <w:sz w:val="21"/>
        </w:rPr>
      </w:pPr>
      <w:r/>
    </w:p>
    <w:sdt>
      <w:sdtPr>
        <w:rPr>
          <w:rFonts w:ascii="FangSong" w:hAnsi="FangSong" w:eastAsia="FangSong" w:cs="FangSong"/>
          <w:sz w:val="26"/>
          <w:szCs w:val="26"/>
        </w:rPr>
        <w:docPartObj>
          <w:docPartGallery w:val="Table of Contents"/>
          <w:docPartUnique/>
        </w:docPartObj>
      </w:sdtPr>
      <w:sdtEndPr>
        <w:rPr>
          <w:rFonts w:ascii="Times New Roman" w:hAnsi="Times New Roman" w:eastAsia="Times New Roman" w:cs="Times New Roman"/>
          <w:sz w:val="26"/>
          <w:szCs w:val="26"/>
        </w:rPr>
      </w:sdtEndPr>
      <w:sdtContent>
        <w:p>
          <w:pPr>
            <w:spacing w:before="85" w:line="220" w:lineRule="auto"/>
            <w:tabs>
              <w:tab w:val="right" w:leader="dot" w:pos="9629"/>
            </w:tabs>
            <w:rPr>
              <w:rFonts w:ascii="Times New Roman" w:hAnsi="Times New Roman" w:eastAsia="Times New Roman" w:cs="Times New Roman"/>
              <w:sz w:val="26"/>
              <w:szCs w:val="26"/>
            </w:rPr>
          </w:pPr>
          <w:bookmarkStart w:name="bookmark11" w:id="2"/>
          <w:bookmarkEnd w:id="2"/>
          <w:bookmarkStart w:name="bookmark12" w:id="3"/>
          <w:bookmarkEnd w:id="3"/>
          <w:bookmarkStart w:name="bookmark13" w:id="4"/>
          <w:bookmarkEnd w:id="4"/>
          <w:bookmarkStart w:name="bookmark14" w:id="5"/>
          <w:bookmarkEnd w:id="5"/>
          <w:bookmarkStart w:name="bookmark15" w:id="6"/>
          <w:bookmarkEnd w:id="6"/>
          <w:r>
            <w:rPr>
              <w:rFonts w:ascii="FangSong" w:hAnsi="FangSong" w:eastAsia="FangSong" w:cs="FangSong"/>
              <w:sz w:val="26"/>
              <w:szCs w:val="26"/>
              <w:spacing w:val="24"/>
            </w:rPr>
            <w:t>第三节</w:t>
          </w:r>
          <w:r>
            <w:rPr>
              <w:rFonts w:ascii="FangSong" w:hAnsi="FangSong" w:eastAsia="FangSong" w:cs="FangSong"/>
              <w:sz w:val="26"/>
              <w:szCs w:val="26"/>
              <w:spacing w:val="39"/>
            </w:rPr>
            <w:t xml:space="preserve"> </w:t>
          </w:r>
          <w:r>
            <w:rPr>
              <w:rFonts w:ascii="FangSong" w:hAnsi="FangSong" w:eastAsia="FangSong" w:cs="FangSong"/>
              <w:sz w:val="26"/>
              <w:szCs w:val="26"/>
              <w:spacing w:val="24"/>
            </w:rPr>
            <w:t>工作面防突措施</w:t>
          </w:r>
          <w:r>
            <w:rPr>
              <w:rFonts w:ascii="FangSong" w:hAnsi="FangSong" w:eastAsia="FangSong" w:cs="FangSong"/>
              <w:sz w:val="26"/>
              <w:szCs w:val="26"/>
              <w:spacing w:val="-121"/>
            </w:rPr>
            <w:t xml:space="preserve"> </w:t>
          </w:r>
          <w:r>
            <w:rPr>
              <w:rFonts w:ascii="FangSong" w:hAnsi="FangSong" w:eastAsia="FangSong" w:cs="FangSong"/>
              <w:sz w:val="26"/>
              <w:szCs w:val="26"/>
            </w:rPr>
            <w:tab/>
          </w:r>
          <w:hyperlink w:history="true" w:anchor="bookmark25">
            <w:r>
              <w:rPr>
                <w:rFonts w:ascii="Times New Roman" w:hAnsi="Times New Roman" w:eastAsia="Times New Roman" w:cs="Times New Roman"/>
                <w:sz w:val="26"/>
                <w:szCs w:val="26"/>
                <w:spacing w:val="9"/>
              </w:rPr>
              <w:t>9</w:t>
            </w:r>
          </w:hyperlink>
        </w:p>
        <w:p>
          <w:pPr>
            <w:spacing w:before="300" w:line="220" w:lineRule="auto"/>
            <w:tabs>
              <w:tab w:val="right" w:leader="dot" w:pos="9649"/>
            </w:tabs>
            <w:rPr>
              <w:rFonts w:ascii="Times New Roman" w:hAnsi="Times New Roman" w:eastAsia="Times New Roman" w:cs="Times New Roman"/>
              <w:sz w:val="26"/>
              <w:szCs w:val="26"/>
            </w:rPr>
          </w:pPr>
          <w:r>
            <w:rPr>
              <w:rFonts w:ascii="FangSong" w:hAnsi="FangSong" w:eastAsia="FangSong" w:cs="FangSong"/>
              <w:sz w:val="26"/>
              <w:szCs w:val="26"/>
              <w:spacing w:val="28"/>
            </w:rPr>
            <w:t>第四节</w:t>
          </w:r>
          <w:r>
            <w:rPr>
              <w:rFonts w:ascii="FangSong" w:hAnsi="FangSong" w:eastAsia="FangSong" w:cs="FangSong"/>
              <w:sz w:val="26"/>
              <w:szCs w:val="26"/>
              <w:spacing w:val="28"/>
            </w:rPr>
            <w:t xml:space="preserve"> </w:t>
          </w:r>
          <w:r>
            <w:rPr>
              <w:rFonts w:ascii="FangSong" w:hAnsi="FangSong" w:eastAsia="FangSong" w:cs="FangSong"/>
              <w:sz w:val="26"/>
              <w:szCs w:val="26"/>
              <w:spacing w:val="28"/>
            </w:rPr>
            <w:t>工作面防突措施效果检验</w:t>
          </w:r>
          <w:r>
            <w:rPr>
              <w:rFonts w:ascii="FangSong" w:hAnsi="FangSong" w:eastAsia="FangSong" w:cs="FangSong"/>
              <w:sz w:val="26"/>
              <w:szCs w:val="26"/>
              <w:spacing w:val="-112"/>
            </w:rPr>
            <w:t xml:space="preserve"> </w:t>
          </w:r>
          <w:r>
            <w:rPr>
              <w:rFonts w:ascii="FangSong" w:hAnsi="FangSong" w:eastAsia="FangSong" w:cs="FangSong"/>
              <w:sz w:val="26"/>
              <w:szCs w:val="26"/>
            </w:rPr>
            <w:tab/>
          </w:r>
          <w:r>
            <w:rPr>
              <w:rFonts w:ascii="FangSong" w:hAnsi="FangSong" w:eastAsia="FangSong" w:cs="FangSong"/>
              <w:sz w:val="26"/>
              <w:szCs w:val="26"/>
              <w:spacing w:val="-91"/>
            </w:rPr>
            <w:t xml:space="preserve"> </w:t>
          </w:r>
          <w:hyperlink w:history="true" w:anchor="bookmark26">
            <w:r>
              <w:rPr>
                <w:rFonts w:ascii="Times New Roman" w:hAnsi="Times New Roman" w:eastAsia="Times New Roman" w:cs="Times New Roman"/>
                <w:sz w:val="26"/>
                <w:szCs w:val="26"/>
                <w:spacing w:val="-8"/>
              </w:rPr>
              <w:t>10</w:t>
            </w:r>
          </w:hyperlink>
        </w:p>
        <w:p>
          <w:pPr>
            <w:spacing w:before="221" w:line="222" w:lineRule="auto"/>
            <w:tabs>
              <w:tab w:val="right" w:leader="dot" w:pos="9689"/>
            </w:tabs>
            <w:rPr>
              <w:rFonts w:ascii="Times New Roman" w:hAnsi="Times New Roman" w:eastAsia="Times New Roman" w:cs="Times New Roman"/>
              <w:sz w:val="26"/>
              <w:szCs w:val="26"/>
            </w:rPr>
          </w:pPr>
          <w:r>
            <w:rPr>
              <w:rFonts w:ascii="FangSong" w:hAnsi="FangSong" w:eastAsia="FangSong" w:cs="FangSong"/>
              <w:sz w:val="26"/>
              <w:szCs w:val="26"/>
              <w:spacing w:val="23"/>
            </w:rPr>
            <w:t>第五节</w:t>
          </w:r>
          <w:r>
            <w:rPr>
              <w:rFonts w:ascii="FangSong" w:hAnsi="FangSong" w:eastAsia="FangSong" w:cs="FangSong"/>
              <w:sz w:val="26"/>
              <w:szCs w:val="26"/>
              <w:spacing w:val="42"/>
            </w:rPr>
            <w:t xml:space="preserve"> </w:t>
          </w:r>
          <w:r>
            <w:rPr>
              <w:rFonts w:ascii="FangSong" w:hAnsi="FangSong" w:eastAsia="FangSong" w:cs="FangSong"/>
              <w:sz w:val="26"/>
              <w:szCs w:val="26"/>
              <w:spacing w:val="23"/>
            </w:rPr>
            <w:t>安全防护措施</w:t>
          </w:r>
          <w:r>
            <w:rPr>
              <w:rFonts w:ascii="FangSong" w:hAnsi="FangSong" w:eastAsia="FangSong" w:cs="FangSong"/>
              <w:sz w:val="26"/>
              <w:szCs w:val="26"/>
              <w:spacing w:val="-121"/>
            </w:rPr>
            <w:t xml:space="preserve"> </w:t>
          </w:r>
          <w:r>
            <w:rPr>
              <w:rFonts w:ascii="FangSong" w:hAnsi="FangSong" w:eastAsia="FangSong" w:cs="FangSong"/>
              <w:sz w:val="26"/>
              <w:szCs w:val="26"/>
            </w:rPr>
            <w:tab/>
          </w:r>
          <w:hyperlink w:history="true" w:anchor="bookmark27">
            <w:r>
              <w:rPr>
                <w:rFonts w:ascii="Times New Roman" w:hAnsi="Times New Roman" w:eastAsia="Times New Roman" w:cs="Times New Roman"/>
                <w:sz w:val="26"/>
                <w:szCs w:val="26"/>
                <w:spacing w:val="-16"/>
              </w:rPr>
              <w:t>11</w:t>
            </w:r>
          </w:hyperlink>
        </w:p>
        <w:p>
          <w:pPr>
            <w:ind w:left="3"/>
            <w:spacing w:before="235" w:line="222" w:lineRule="auto"/>
            <w:tabs>
              <w:tab w:val="right" w:leader="dot" w:pos="9649"/>
            </w:tabs>
            <w:rPr>
              <w:rFonts w:ascii="Times New Roman" w:hAnsi="Times New Roman" w:eastAsia="Times New Roman" w:cs="Times New Roman"/>
              <w:sz w:val="26"/>
              <w:szCs w:val="26"/>
            </w:rPr>
          </w:pPr>
          <w:r>
            <w:rPr>
              <w:rFonts w:ascii="FangSong" w:hAnsi="FangSong" w:eastAsia="FangSong" w:cs="FangSong"/>
              <w:sz w:val="26"/>
              <w:szCs w:val="26"/>
              <w:b/>
              <w:bCs/>
              <w:spacing w:val="-17"/>
            </w:rPr>
            <w:t>第五章</w:t>
          </w:r>
          <w:r>
            <w:rPr>
              <w:rFonts w:ascii="FangSong" w:hAnsi="FangSong" w:eastAsia="FangSong" w:cs="FangSong"/>
              <w:sz w:val="26"/>
              <w:szCs w:val="26"/>
              <w:spacing w:val="63"/>
            </w:rPr>
            <w:t xml:space="preserve"> </w:t>
          </w:r>
          <w:r>
            <w:rPr>
              <w:rFonts w:ascii="FangSong" w:hAnsi="FangSong" w:eastAsia="FangSong" w:cs="FangSong"/>
              <w:sz w:val="26"/>
              <w:szCs w:val="26"/>
              <w:b/>
              <w:bCs/>
              <w:spacing w:val="-17"/>
            </w:rPr>
            <w:t>突</w:t>
          </w:r>
          <w:r>
            <w:rPr>
              <w:rFonts w:ascii="FangSong" w:hAnsi="FangSong" w:eastAsia="FangSong" w:cs="FangSong"/>
              <w:sz w:val="26"/>
              <w:szCs w:val="26"/>
              <w:spacing w:val="-26"/>
            </w:rPr>
            <w:t xml:space="preserve"> </w:t>
          </w:r>
          <w:r>
            <w:rPr>
              <w:rFonts w:ascii="FangSong" w:hAnsi="FangSong" w:eastAsia="FangSong" w:cs="FangSong"/>
              <w:sz w:val="26"/>
              <w:szCs w:val="26"/>
              <w:b/>
              <w:bCs/>
              <w:spacing w:val="-17"/>
            </w:rPr>
            <w:t>出</w:t>
          </w:r>
          <w:r>
            <w:rPr>
              <w:rFonts w:ascii="FangSong" w:hAnsi="FangSong" w:eastAsia="FangSong" w:cs="FangSong"/>
              <w:sz w:val="26"/>
              <w:szCs w:val="26"/>
              <w:spacing w:val="-53"/>
            </w:rPr>
            <w:t xml:space="preserve"> </w:t>
          </w:r>
          <w:r>
            <w:rPr>
              <w:rFonts w:ascii="FangSong" w:hAnsi="FangSong" w:eastAsia="FangSong" w:cs="FangSong"/>
              <w:sz w:val="26"/>
              <w:szCs w:val="26"/>
              <w:b/>
              <w:bCs/>
              <w:spacing w:val="-17"/>
            </w:rPr>
            <w:t>矿</w:t>
          </w:r>
          <w:r>
            <w:rPr>
              <w:rFonts w:ascii="FangSong" w:hAnsi="FangSong" w:eastAsia="FangSong" w:cs="FangSong"/>
              <w:sz w:val="26"/>
              <w:szCs w:val="26"/>
              <w:spacing w:val="-50"/>
            </w:rPr>
            <w:t xml:space="preserve"> </w:t>
          </w:r>
          <w:r>
            <w:rPr>
              <w:rFonts w:ascii="FangSong" w:hAnsi="FangSong" w:eastAsia="FangSong" w:cs="FangSong"/>
              <w:sz w:val="26"/>
              <w:szCs w:val="26"/>
              <w:b/>
              <w:bCs/>
              <w:spacing w:val="-17"/>
            </w:rPr>
            <w:t>井</w:t>
          </w:r>
          <w:r>
            <w:rPr>
              <w:rFonts w:ascii="FangSong" w:hAnsi="FangSong" w:eastAsia="FangSong" w:cs="FangSong"/>
              <w:sz w:val="26"/>
              <w:szCs w:val="26"/>
              <w:spacing w:val="-38"/>
            </w:rPr>
            <w:t xml:space="preserve"> </w:t>
          </w:r>
          <w:r>
            <w:rPr>
              <w:rFonts w:ascii="FangSong" w:hAnsi="FangSong" w:eastAsia="FangSong" w:cs="FangSong"/>
              <w:sz w:val="26"/>
              <w:szCs w:val="26"/>
              <w:b/>
              <w:bCs/>
              <w:spacing w:val="-17"/>
            </w:rPr>
            <w:t>管</w:t>
          </w:r>
          <w:r>
            <w:rPr>
              <w:rFonts w:ascii="FangSong" w:hAnsi="FangSong" w:eastAsia="FangSong" w:cs="FangSong"/>
              <w:sz w:val="26"/>
              <w:szCs w:val="26"/>
              <w:spacing w:val="-50"/>
            </w:rPr>
            <w:t xml:space="preserve"> </w:t>
          </w:r>
          <w:r>
            <w:rPr>
              <w:rFonts w:ascii="FangSong" w:hAnsi="FangSong" w:eastAsia="FangSong" w:cs="FangSong"/>
              <w:sz w:val="26"/>
              <w:szCs w:val="26"/>
              <w:b/>
              <w:bCs/>
              <w:spacing w:val="-17"/>
            </w:rPr>
            <w:t>理</w:t>
          </w:r>
          <w:r>
            <w:rPr>
              <w:rFonts w:ascii="FangSong" w:hAnsi="FangSong" w:eastAsia="FangSong" w:cs="FangSong"/>
              <w:sz w:val="26"/>
              <w:szCs w:val="26"/>
              <w:spacing w:val="-113"/>
            </w:rPr>
            <w:t xml:space="preserve"> </w:t>
          </w:r>
          <w:r>
            <w:rPr>
              <w:rFonts w:ascii="FangSong" w:hAnsi="FangSong" w:eastAsia="FangSong" w:cs="FangSong"/>
              <w:sz w:val="26"/>
              <w:szCs w:val="26"/>
            </w:rPr>
            <w:tab/>
          </w:r>
          <w:r>
            <w:rPr>
              <w:rFonts w:ascii="FangSong" w:hAnsi="FangSong" w:eastAsia="FangSong" w:cs="FangSong"/>
              <w:sz w:val="26"/>
              <w:szCs w:val="26"/>
              <w:spacing w:val="-41"/>
            </w:rPr>
            <w:t xml:space="preserve"> </w:t>
          </w:r>
          <w:hyperlink w:history="true" w:anchor="bookmark28">
            <w:r>
              <w:rPr>
                <w:rFonts w:ascii="Times New Roman" w:hAnsi="Times New Roman" w:eastAsia="Times New Roman" w:cs="Times New Roman"/>
                <w:sz w:val="26"/>
                <w:szCs w:val="26"/>
                <w:spacing w:val="-8"/>
              </w:rPr>
              <w:t>12</w:t>
            </w:r>
          </w:hyperlink>
        </w:p>
        <w:p>
          <w:pPr>
            <w:spacing w:before="249" w:line="222" w:lineRule="auto"/>
            <w:tabs>
              <w:tab w:val="right" w:leader="dot" w:pos="9649"/>
            </w:tabs>
            <w:rPr>
              <w:rFonts w:ascii="Times New Roman" w:hAnsi="Times New Roman" w:eastAsia="Times New Roman" w:cs="Times New Roman"/>
              <w:sz w:val="26"/>
              <w:szCs w:val="26"/>
            </w:rPr>
          </w:pPr>
          <w:r>
            <w:rPr>
              <w:rFonts w:ascii="FangSong" w:hAnsi="FangSong" w:eastAsia="FangSong" w:cs="FangSong"/>
              <w:sz w:val="26"/>
              <w:szCs w:val="26"/>
              <w:spacing w:val="23"/>
            </w:rPr>
            <w:t>第一节</w:t>
          </w:r>
          <w:r>
            <w:rPr>
              <w:rFonts w:ascii="FangSong" w:hAnsi="FangSong" w:eastAsia="FangSong" w:cs="FangSong"/>
              <w:sz w:val="26"/>
              <w:szCs w:val="26"/>
              <w:spacing w:val="42"/>
            </w:rPr>
            <w:t xml:space="preserve"> </w:t>
          </w:r>
          <w:r>
            <w:rPr>
              <w:rFonts w:ascii="FangSong" w:hAnsi="FangSong" w:eastAsia="FangSong" w:cs="FangSong"/>
              <w:sz w:val="26"/>
              <w:szCs w:val="26"/>
              <w:spacing w:val="23"/>
            </w:rPr>
            <w:t>组织管理措施</w:t>
          </w:r>
          <w:r>
            <w:rPr>
              <w:rFonts w:ascii="FangSong" w:hAnsi="FangSong" w:eastAsia="FangSong" w:cs="FangSong"/>
              <w:sz w:val="26"/>
              <w:szCs w:val="26"/>
              <w:spacing w:val="-121"/>
            </w:rPr>
            <w:t xml:space="preserve"> </w:t>
          </w:r>
          <w:r>
            <w:rPr>
              <w:rFonts w:ascii="FangSong" w:hAnsi="FangSong" w:eastAsia="FangSong" w:cs="FangSong"/>
              <w:sz w:val="26"/>
              <w:szCs w:val="26"/>
            </w:rPr>
            <w:tab/>
          </w:r>
          <w:hyperlink w:history="true" w:anchor="bookmark29">
            <w:r>
              <w:rPr>
                <w:rFonts w:ascii="Times New Roman" w:hAnsi="Times New Roman" w:eastAsia="Times New Roman" w:cs="Times New Roman"/>
                <w:sz w:val="26"/>
                <w:szCs w:val="26"/>
                <w:spacing w:val="-8"/>
              </w:rPr>
              <w:t>12</w:t>
            </w:r>
          </w:hyperlink>
        </w:p>
        <w:p>
          <w:pPr>
            <w:spacing w:before="267" w:line="222" w:lineRule="auto"/>
            <w:tabs>
              <w:tab w:val="right" w:leader="dot" w:pos="9669"/>
            </w:tabs>
            <w:rPr>
              <w:rFonts w:ascii="Times New Roman" w:hAnsi="Times New Roman" w:eastAsia="Times New Roman" w:cs="Times New Roman"/>
              <w:sz w:val="26"/>
              <w:szCs w:val="26"/>
            </w:rPr>
          </w:pPr>
          <w:r>
            <w:rPr>
              <w:rFonts w:ascii="FangSong" w:hAnsi="FangSong" w:eastAsia="FangSong" w:cs="FangSong"/>
              <w:sz w:val="26"/>
              <w:szCs w:val="26"/>
              <w:spacing w:val="23"/>
            </w:rPr>
            <w:t>第二节</w:t>
          </w:r>
          <w:r>
            <w:rPr>
              <w:rFonts w:ascii="FangSong" w:hAnsi="FangSong" w:eastAsia="FangSong" w:cs="FangSong"/>
              <w:sz w:val="26"/>
              <w:szCs w:val="26"/>
              <w:spacing w:val="58"/>
            </w:rPr>
            <w:t xml:space="preserve"> </w:t>
          </w:r>
          <w:r>
            <w:rPr>
              <w:rFonts w:ascii="FangSong" w:hAnsi="FangSong" w:eastAsia="FangSong" w:cs="FangSong"/>
              <w:sz w:val="26"/>
              <w:szCs w:val="26"/>
              <w:spacing w:val="23"/>
            </w:rPr>
            <w:t>防突技术管理</w:t>
          </w:r>
          <w:r>
            <w:rPr>
              <w:rFonts w:ascii="FangSong" w:hAnsi="FangSong" w:eastAsia="FangSong" w:cs="FangSong"/>
              <w:sz w:val="26"/>
              <w:szCs w:val="26"/>
              <w:spacing w:val="-117"/>
            </w:rPr>
            <w:t xml:space="preserve"> </w:t>
          </w:r>
          <w:r>
            <w:rPr>
              <w:rFonts w:ascii="FangSong" w:hAnsi="FangSong" w:eastAsia="FangSong" w:cs="FangSong"/>
              <w:sz w:val="26"/>
              <w:szCs w:val="26"/>
            </w:rPr>
            <w:tab/>
          </w:r>
          <w:hyperlink w:history="true" w:anchor="bookmark30">
            <w:r>
              <w:rPr>
                <w:rFonts w:ascii="Times New Roman" w:hAnsi="Times New Roman" w:eastAsia="Times New Roman" w:cs="Times New Roman"/>
                <w:sz w:val="26"/>
                <w:szCs w:val="26"/>
                <w:spacing w:val="-8"/>
              </w:rPr>
              <w:t>12</w:t>
            </w:r>
          </w:hyperlink>
        </w:p>
        <w:p>
          <w:pPr>
            <w:ind w:left="3"/>
            <w:spacing w:before="226" w:line="222" w:lineRule="auto"/>
            <w:tabs>
              <w:tab w:val="right" w:leader="dot" w:pos="9662"/>
            </w:tabs>
            <w:rPr>
              <w:rFonts w:ascii="Times New Roman" w:hAnsi="Times New Roman" w:eastAsia="Times New Roman" w:cs="Times New Roman"/>
              <w:sz w:val="26"/>
              <w:szCs w:val="26"/>
            </w:rPr>
          </w:pPr>
          <w:r>
            <w:rPr>
              <w:rFonts w:ascii="FangSong" w:hAnsi="FangSong" w:eastAsia="FangSong" w:cs="FangSong"/>
              <w:sz w:val="26"/>
              <w:szCs w:val="26"/>
              <w:b/>
              <w:bCs/>
              <w:spacing w:val="25"/>
            </w:rPr>
            <w:t>第六章</w:t>
          </w:r>
          <w:r>
            <w:rPr>
              <w:rFonts w:ascii="FangSong" w:hAnsi="FangSong" w:eastAsia="FangSong" w:cs="FangSong"/>
              <w:sz w:val="26"/>
              <w:szCs w:val="26"/>
              <w:spacing w:val="62"/>
            </w:rPr>
            <w:t xml:space="preserve"> </w:t>
          </w:r>
          <w:r>
            <w:rPr>
              <w:rFonts w:ascii="FangSong" w:hAnsi="FangSong" w:eastAsia="FangSong" w:cs="FangSong"/>
              <w:sz w:val="26"/>
              <w:szCs w:val="26"/>
              <w:b/>
              <w:bCs/>
              <w:spacing w:val="25"/>
            </w:rPr>
            <w:t>防突仪器、装备</w:t>
          </w:r>
          <w:r>
            <w:rPr>
              <w:rFonts w:ascii="FangSong" w:hAnsi="FangSong" w:eastAsia="FangSong" w:cs="FangSong"/>
              <w:sz w:val="26"/>
              <w:szCs w:val="26"/>
              <w:spacing w:val="-115"/>
            </w:rPr>
            <w:t xml:space="preserve"> </w:t>
          </w:r>
          <w:r>
            <w:rPr>
              <w:rFonts w:ascii="FangSong" w:hAnsi="FangSong" w:eastAsia="FangSong" w:cs="FangSong"/>
              <w:sz w:val="26"/>
              <w:szCs w:val="26"/>
            </w:rPr>
            <w:tab/>
          </w:r>
          <w:r>
            <w:rPr>
              <w:rFonts w:ascii="FangSong" w:hAnsi="FangSong" w:eastAsia="FangSong" w:cs="FangSong"/>
              <w:sz w:val="26"/>
              <w:szCs w:val="26"/>
              <w:spacing w:val="-17"/>
            </w:rPr>
            <w:t xml:space="preserve"> </w:t>
          </w:r>
          <w:hyperlink w:history="true" w:anchor="bookmark31">
            <w:r>
              <w:rPr>
                <w:rFonts w:ascii="Times New Roman" w:hAnsi="Times New Roman" w:eastAsia="Times New Roman" w:cs="Times New Roman"/>
                <w:sz w:val="26"/>
                <w:szCs w:val="26"/>
                <w:b/>
                <w:bCs/>
                <w:spacing w:val="-5"/>
              </w:rPr>
              <w:t>13</w:t>
            </w:r>
          </w:hyperlink>
        </w:p>
      </w:sdtContent>
    </w:sdt>
    <w:p>
      <w:pPr>
        <w:spacing w:line="222" w:lineRule="auto"/>
        <w:sectPr>
          <w:footerReference w:type="default" r:id="rId7"/>
          <w:pgSz w:w="11900" w:h="16940"/>
          <w:pgMar w:top="400" w:right="1130" w:bottom="907" w:left="1080" w:header="0" w:footer="726" w:gutter="0"/>
        </w:sectPr>
        <w:rPr>
          <w:rFonts w:ascii="Times New Roman" w:hAnsi="Times New Roman" w:eastAsia="Times New Roman" w:cs="Times New Roman"/>
          <w:sz w:val="26"/>
          <w:szCs w:val="26"/>
        </w:rPr>
      </w:pP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ind w:left="2862"/>
        <w:spacing w:before="140" w:line="574" w:lineRule="exact"/>
        <w:rPr>
          <w:rFonts w:ascii="FangSong" w:hAnsi="FangSong" w:eastAsia="FangSong" w:cs="FangSong"/>
          <w:sz w:val="43"/>
          <w:szCs w:val="43"/>
        </w:rPr>
      </w:pPr>
      <w:bookmarkStart w:name="bookmark16" w:id="7"/>
      <w:bookmarkEnd w:id="7"/>
      <w:bookmarkStart w:name="bookmark17" w:id="8"/>
      <w:bookmarkEnd w:id="8"/>
      <w:bookmarkStart w:name="bookmark18" w:id="9"/>
      <w:bookmarkEnd w:id="9"/>
      <w:r>
        <w:rPr>
          <w:rFonts w:ascii="Times New Roman" w:hAnsi="Times New Roman" w:eastAsia="Times New Roman" w:cs="Times New Roman"/>
          <w:sz w:val="43"/>
          <w:szCs w:val="43"/>
          <w:b/>
          <w:bCs/>
          <w:spacing w:val="-17"/>
          <w:position w:val="9"/>
        </w:rPr>
        <w:t>XX</w:t>
      </w:r>
      <w:r>
        <w:rPr>
          <w:rFonts w:ascii="Times New Roman" w:hAnsi="Times New Roman" w:eastAsia="Times New Roman" w:cs="Times New Roman"/>
          <w:sz w:val="43"/>
          <w:szCs w:val="43"/>
          <w:b/>
          <w:bCs/>
          <w:spacing w:val="-22"/>
          <w:position w:val="9"/>
        </w:rPr>
        <w:t xml:space="preserve"> </w:t>
      </w:r>
      <w:r>
        <w:rPr>
          <w:rFonts w:ascii="FangSong" w:hAnsi="FangSong" w:eastAsia="FangSong" w:cs="FangSong"/>
          <w:sz w:val="43"/>
          <w:szCs w:val="43"/>
          <w:b/>
          <w:bCs/>
          <w:spacing w:val="-17"/>
          <w:position w:val="9"/>
        </w:rPr>
        <w:t>矿井</w:t>
      </w:r>
      <w:r>
        <w:rPr>
          <w:rFonts w:ascii="FangSong" w:hAnsi="FangSong" w:eastAsia="FangSong" w:cs="FangSong"/>
          <w:sz w:val="43"/>
          <w:szCs w:val="43"/>
          <w:b/>
          <w:bCs/>
          <w:color w:val="E7800A"/>
          <w:spacing w:val="-17"/>
          <w:position w:val="9"/>
        </w:rPr>
        <w:t>防</w:t>
      </w:r>
      <w:r>
        <w:rPr>
          <w:rFonts w:ascii="FangSong" w:hAnsi="FangSong" w:eastAsia="FangSong" w:cs="FangSong"/>
          <w:sz w:val="43"/>
          <w:szCs w:val="43"/>
          <w:b/>
          <w:bCs/>
          <w:spacing w:val="-17"/>
          <w:position w:val="9"/>
        </w:rPr>
        <w:t>突专项设计</w:t>
      </w:r>
    </w:p>
    <w:p>
      <w:pPr>
        <w:pStyle w:val="BodyText"/>
        <w:ind w:left="4437"/>
        <w:spacing w:before="1" w:line="220" w:lineRule="auto"/>
        <w:rPr>
          <w:sz w:val="35"/>
          <w:szCs w:val="35"/>
        </w:rPr>
      </w:pPr>
      <w:r>
        <w:rPr>
          <w:sz w:val="35"/>
          <w:szCs w:val="35"/>
          <w:b/>
          <w:bCs/>
          <w:spacing w:val="-7"/>
        </w:rPr>
        <w:t>前</w:t>
      </w:r>
      <w:r>
        <w:rPr>
          <w:sz w:val="35"/>
          <w:szCs w:val="35"/>
          <w:spacing w:val="-7"/>
        </w:rPr>
        <w:t xml:space="preserve">  </w:t>
      </w:r>
      <w:r>
        <w:rPr>
          <w:sz w:val="35"/>
          <w:szCs w:val="35"/>
          <w:b/>
          <w:bCs/>
          <w:spacing w:val="-7"/>
        </w:rPr>
        <w:t>言</w:t>
      </w:r>
    </w:p>
    <w:p>
      <w:pPr>
        <w:pStyle w:val="BodyText"/>
        <w:ind w:left="3976"/>
        <w:spacing w:before="35" w:line="219" w:lineRule="auto"/>
        <w:rPr>
          <w:sz w:val="29"/>
          <w:szCs w:val="29"/>
        </w:rPr>
      </w:pPr>
      <w:r>
        <w:rPr>
          <w:sz w:val="29"/>
          <w:szCs w:val="29"/>
          <w:b/>
          <w:bCs/>
        </w:rPr>
        <w:t>第一节</w:t>
      </w:r>
      <w:r>
        <w:rPr>
          <w:sz w:val="29"/>
          <w:szCs w:val="29"/>
          <w:spacing w:val="18"/>
        </w:rPr>
        <w:t xml:space="preserve">  </w:t>
      </w:r>
      <w:r>
        <w:rPr>
          <w:sz w:val="29"/>
          <w:szCs w:val="29"/>
          <w:b/>
          <w:bCs/>
        </w:rPr>
        <w:t>编制依据</w:t>
      </w:r>
    </w:p>
    <w:p>
      <w:pPr>
        <w:ind w:left="475"/>
        <w:spacing w:before="150" w:line="222" w:lineRule="auto"/>
        <w:outlineLvl w:val="0"/>
        <w:rPr>
          <w:rFonts w:ascii="KaiTi" w:hAnsi="KaiTi" w:eastAsia="KaiTi" w:cs="KaiTi"/>
          <w:sz w:val="24"/>
          <w:szCs w:val="24"/>
        </w:rPr>
      </w:pPr>
      <w:r>
        <w:rPr>
          <w:rFonts w:ascii="KaiTi" w:hAnsi="KaiTi" w:eastAsia="KaiTi" w:cs="KaiTi"/>
          <w:sz w:val="24"/>
          <w:szCs w:val="24"/>
          <w:b/>
          <w:bCs/>
          <w:spacing w:val="-2"/>
        </w:rPr>
        <w:t>1.《煤矿安全规程》</w:t>
      </w:r>
      <w:r>
        <w:rPr>
          <w:rFonts w:ascii="KaiTi" w:hAnsi="KaiTi" w:eastAsia="KaiTi" w:cs="KaiTi"/>
          <w:sz w:val="24"/>
          <w:szCs w:val="24"/>
          <w:spacing w:val="-2"/>
        </w:rPr>
        <w:t xml:space="preserve">  </w:t>
      </w:r>
      <w:r>
        <w:rPr>
          <w:rFonts w:ascii="KaiTi" w:hAnsi="KaiTi" w:eastAsia="KaiTi" w:cs="KaiTi"/>
          <w:sz w:val="24"/>
          <w:szCs w:val="24"/>
          <w:b/>
          <w:bCs/>
          <w:spacing w:val="-2"/>
        </w:rPr>
        <w:t>(2016版);</w:t>
      </w:r>
    </w:p>
    <w:p>
      <w:pPr>
        <w:ind w:left="472"/>
        <w:spacing w:before="186" w:line="220" w:lineRule="auto"/>
        <w:rPr>
          <w:rFonts w:ascii="FangSong" w:hAnsi="FangSong" w:eastAsia="FangSong" w:cs="FangSong"/>
          <w:sz w:val="24"/>
          <w:szCs w:val="24"/>
        </w:rPr>
      </w:pPr>
      <w:r>
        <w:rPr>
          <w:rFonts w:ascii="FangSong" w:hAnsi="FangSong" w:eastAsia="FangSong" w:cs="FangSong"/>
          <w:sz w:val="24"/>
          <w:szCs w:val="24"/>
          <w:spacing w:val="-1"/>
        </w:rPr>
        <w:t>2.</w:t>
      </w:r>
      <w:r>
        <w:rPr>
          <w:rFonts w:ascii="FangSong" w:hAnsi="FangSong" w:eastAsia="FangSong" w:cs="FangSong"/>
          <w:sz w:val="24"/>
          <w:szCs w:val="24"/>
          <w:spacing w:val="-1"/>
        </w:rPr>
        <w:t xml:space="preserve"> </w:t>
      </w:r>
      <w:r>
        <w:rPr>
          <w:rFonts w:ascii="FangSong" w:hAnsi="FangSong" w:eastAsia="FangSong" w:cs="FangSong"/>
          <w:sz w:val="24"/>
          <w:szCs w:val="24"/>
          <w:spacing w:val="-1"/>
        </w:rPr>
        <w:t>《防治煤与瓦斯突出细则》</w:t>
      </w:r>
      <w:r>
        <w:rPr>
          <w:rFonts w:ascii="FangSong" w:hAnsi="FangSong" w:eastAsia="FangSong" w:cs="FangSong"/>
          <w:sz w:val="24"/>
          <w:szCs w:val="24"/>
          <w:spacing w:val="-1"/>
        </w:rPr>
        <w:t xml:space="preserve">  </w:t>
      </w:r>
      <w:r>
        <w:rPr>
          <w:rFonts w:ascii="FangSong" w:hAnsi="FangSong" w:eastAsia="FangSong" w:cs="FangSong"/>
          <w:sz w:val="24"/>
          <w:szCs w:val="24"/>
          <w:spacing w:val="-1"/>
        </w:rPr>
        <w:t>(煤安监技装〔20</w:t>
      </w:r>
      <w:r>
        <w:rPr>
          <w:rFonts w:ascii="FangSong" w:hAnsi="FangSong" w:eastAsia="FangSong" w:cs="FangSong"/>
          <w:sz w:val="24"/>
          <w:szCs w:val="24"/>
          <w:spacing w:val="-2"/>
        </w:rPr>
        <w:t>19〕28号);</w:t>
      </w:r>
    </w:p>
    <w:p>
      <w:pPr>
        <w:pStyle w:val="BodyText"/>
        <w:ind w:left="472"/>
        <w:spacing w:before="187" w:line="219" w:lineRule="auto"/>
        <w:rPr>
          <w:sz w:val="24"/>
          <w:szCs w:val="24"/>
        </w:rPr>
      </w:pPr>
      <w:r>
        <w:rPr>
          <w:sz w:val="24"/>
          <w:szCs w:val="24"/>
          <w:spacing w:val="-2"/>
        </w:rPr>
        <w:t>3. 《煤矿瓦斯抽采达标暂行规定》  (安监总煤装〔2011</w:t>
      </w:r>
      <w:r>
        <w:rPr>
          <w:sz w:val="24"/>
          <w:szCs w:val="24"/>
          <w:spacing w:val="-3"/>
        </w:rPr>
        <w:t>〕163号);</w:t>
      </w:r>
    </w:p>
    <w:p>
      <w:pPr>
        <w:ind w:left="475"/>
        <w:spacing w:before="146" w:line="222" w:lineRule="auto"/>
        <w:outlineLvl w:val="0"/>
        <w:rPr>
          <w:rFonts w:ascii="KaiTi" w:hAnsi="KaiTi" w:eastAsia="KaiTi" w:cs="KaiTi"/>
          <w:sz w:val="24"/>
          <w:szCs w:val="24"/>
        </w:rPr>
      </w:pPr>
      <w:r>
        <w:rPr>
          <w:rFonts w:ascii="KaiTi" w:hAnsi="KaiTi" w:eastAsia="KaiTi" w:cs="KaiTi"/>
          <w:sz w:val="24"/>
          <w:szCs w:val="24"/>
          <w:b/>
          <w:bCs/>
          <w:spacing w:val="-8"/>
        </w:rPr>
        <w:t>4.《煤层瓦斯含量井下直接测定方法》</w:t>
      </w:r>
      <w:r>
        <w:rPr>
          <w:rFonts w:ascii="KaiTi" w:hAnsi="KaiTi" w:eastAsia="KaiTi" w:cs="KaiTi"/>
          <w:sz w:val="24"/>
          <w:szCs w:val="24"/>
          <w:spacing w:val="-8"/>
        </w:rPr>
        <w:t xml:space="preserve">  </w:t>
      </w:r>
      <w:r>
        <w:rPr>
          <w:rFonts w:ascii="KaiTi" w:hAnsi="KaiTi" w:eastAsia="KaiTi" w:cs="KaiTi"/>
          <w:sz w:val="24"/>
          <w:szCs w:val="24"/>
          <w:b/>
          <w:bCs/>
          <w:spacing w:val="-8"/>
        </w:rPr>
        <w:t>(GB/T23250);</w:t>
      </w:r>
    </w:p>
    <w:p>
      <w:pPr>
        <w:pStyle w:val="BodyText"/>
        <w:ind w:left="475"/>
        <w:spacing w:before="198" w:line="446" w:lineRule="exact"/>
        <w:rPr>
          <w:sz w:val="24"/>
          <w:szCs w:val="24"/>
        </w:rPr>
      </w:pPr>
      <w:r>
        <w:rPr>
          <w:sz w:val="24"/>
          <w:szCs w:val="24"/>
          <w:b/>
          <w:bCs/>
          <w:spacing w:val="-10"/>
          <w:position w:val="15"/>
        </w:rPr>
        <w:t>5.</w:t>
      </w:r>
      <w:r>
        <w:rPr>
          <w:sz w:val="24"/>
          <w:szCs w:val="24"/>
          <w:spacing w:val="-10"/>
          <w:position w:val="15"/>
        </w:rPr>
        <w:t xml:space="preserve"> </w:t>
      </w:r>
      <w:r>
        <w:rPr>
          <w:sz w:val="24"/>
          <w:szCs w:val="24"/>
          <w:b/>
          <w:bCs/>
          <w:spacing w:val="-10"/>
          <w:position w:val="15"/>
        </w:rPr>
        <w:t>《煤矿井下煤层瓦斯压力的直接测定方法》</w:t>
      </w:r>
      <w:r>
        <w:rPr>
          <w:sz w:val="24"/>
          <w:szCs w:val="24"/>
          <w:spacing w:val="-10"/>
          <w:position w:val="15"/>
        </w:rPr>
        <w:t xml:space="preserve">  </w:t>
      </w:r>
      <w:r>
        <w:rPr>
          <w:sz w:val="24"/>
          <w:szCs w:val="24"/>
          <w:b/>
          <w:bCs/>
          <w:spacing w:val="-10"/>
          <w:position w:val="15"/>
        </w:rPr>
        <w:t>(AQ/T1047-2007);</w:t>
      </w:r>
    </w:p>
    <w:p>
      <w:pPr>
        <w:ind w:left="475"/>
        <w:spacing w:line="220" w:lineRule="auto"/>
        <w:rPr>
          <w:rFonts w:ascii="FangSong" w:hAnsi="FangSong" w:eastAsia="FangSong" w:cs="FangSong"/>
          <w:sz w:val="24"/>
          <w:szCs w:val="24"/>
        </w:rPr>
      </w:pPr>
      <w:r>
        <w:rPr>
          <w:rFonts w:ascii="FangSong" w:hAnsi="FangSong" w:eastAsia="FangSong" w:cs="FangSong"/>
          <w:sz w:val="24"/>
          <w:szCs w:val="24"/>
          <w:b/>
          <w:bCs/>
          <w:spacing w:val="-10"/>
        </w:rPr>
        <w:t>6.</w:t>
      </w:r>
      <w:r>
        <w:rPr>
          <w:rFonts w:ascii="FangSong" w:hAnsi="FangSong" w:eastAsia="FangSong" w:cs="FangSong"/>
          <w:sz w:val="24"/>
          <w:szCs w:val="24"/>
          <w:spacing w:val="-10"/>
        </w:rPr>
        <w:t xml:space="preserve"> </w:t>
      </w:r>
      <w:r>
        <w:rPr>
          <w:rFonts w:ascii="FangSong" w:hAnsi="FangSong" w:eastAsia="FangSong" w:cs="FangSong"/>
          <w:sz w:val="24"/>
          <w:szCs w:val="24"/>
          <w:b/>
          <w:bCs/>
          <w:spacing w:val="-10"/>
        </w:rPr>
        <w:t>《煤与瓦斯突出矿井反向风门设置技术条件》</w:t>
      </w:r>
      <w:r>
        <w:rPr>
          <w:rFonts w:ascii="FangSong" w:hAnsi="FangSong" w:eastAsia="FangSong" w:cs="FangSong"/>
          <w:sz w:val="24"/>
          <w:szCs w:val="24"/>
          <w:spacing w:val="-10"/>
        </w:rPr>
        <w:t xml:space="preserve">  </w:t>
      </w:r>
      <w:r>
        <w:rPr>
          <w:rFonts w:ascii="FangSong" w:hAnsi="FangSong" w:eastAsia="FangSong" w:cs="FangSong"/>
          <w:sz w:val="24"/>
          <w:szCs w:val="24"/>
          <w:b/>
          <w:bCs/>
          <w:spacing w:val="-10"/>
        </w:rPr>
        <w:t>(MT1066-200</w:t>
      </w:r>
      <w:r>
        <w:rPr>
          <w:rFonts w:ascii="FangSong" w:hAnsi="FangSong" w:eastAsia="FangSong" w:cs="FangSong"/>
          <w:sz w:val="24"/>
          <w:szCs w:val="24"/>
          <w:b/>
          <w:bCs/>
          <w:spacing w:val="-11"/>
        </w:rPr>
        <w:t>8);</w:t>
      </w:r>
    </w:p>
    <w:p>
      <w:pPr>
        <w:pStyle w:val="BodyText"/>
        <w:ind w:left="472"/>
        <w:spacing w:before="181" w:line="467" w:lineRule="exact"/>
        <w:rPr>
          <w:sz w:val="24"/>
          <w:szCs w:val="24"/>
        </w:rPr>
      </w:pPr>
      <w:r>
        <w:rPr>
          <w:sz w:val="24"/>
          <w:szCs w:val="24"/>
          <w:spacing w:val="-9"/>
          <w:position w:val="17"/>
        </w:rPr>
        <w:t>7. 《煤矿瓦斯抽采工程设计标准》  (GB50471-2018);</w:t>
      </w:r>
    </w:p>
    <w:p>
      <w:pPr>
        <w:ind w:left="472"/>
        <w:spacing w:before="1" w:line="220" w:lineRule="auto"/>
        <w:rPr>
          <w:rFonts w:ascii="FangSong" w:hAnsi="FangSong" w:eastAsia="FangSong" w:cs="FangSong"/>
          <w:sz w:val="24"/>
          <w:szCs w:val="24"/>
        </w:rPr>
      </w:pPr>
      <w:r>
        <w:rPr>
          <w:rFonts w:ascii="FangSong" w:hAnsi="FangSong" w:eastAsia="FangSong" w:cs="FangSong"/>
          <w:sz w:val="24"/>
          <w:szCs w:val="24"/>
          <w:spacing w:val="-10"/>
        </w:rPr>
        <w:t>8.</w:t>
      </w:r>
      <w:r>
        <w:rPr>
          <w:rFonts w:ascii="FangSong" w:hAnsi="FangSong" w:eastAsia="FangSong" w:cs="FangSong"/>
          <w:sz w:val="24"/>
          <w:szCs w:val="24"/>
          <w:spacing w:val="-10"/>
        </w:rPr>
        <w:t xml:space="preserve"> </w:t>
      </w:r>
      <w:r>
        <w:rPr>
          <w:rFonts w:ascii="FangSong" w:hAnsi="FangSong" w:eastAsia="FangSong" w:cs="FangSong"/>
          <w:sz w:val="24"/>
          <w:szCs w:val="24"/>
          <w:spacing w:val="-10"/>
        </w:rPr>
        <w:t>《保护层开采技术规范》</w:t>
      </w:r>
      <w:r>
        <w:rPr>
          <w:rFonts w:ascii="FangSong" w:hAnsi="FangSong" w:eastAsia="FangSong" w:cs="FangSong"/>
          <w:sz w:val="24"/>
          <w:szCs w:val="24"/>
          <w:spacing w:val="-10"/>
        </w:rPr>
        <w:t xml:space="preserve">  </w:t>
      </w:r>
      <w:r>
        <w:rPr>
          <w:rFonts w:ascii="FangSong" w:hAnsi="FangSong" w:eastAsia="FangSong" w:cs="FangSong"/>
          <w:sz w:val="24"/>
          <w:szCs w:val="24"/>
          <w:spacing w:val="-10"/>
        </w:rPr>
        <w:t>(AQ1050-2008</w:t>
      </w:r>
      <w:r>
        <w:rPr>
          <w:rFonts w:ascii="FangSong" w:hAnsi="FangSong" w:eastAsia="FangSong" w:cs="FangSong"/>
          <w:sz w:val="24"/>
          <w:szCs w:val="24"/>
          <w:spacing w:val="-11"/>
        </w:rPr>
        <w:t>);</w:t>
      </w:r>
    </w:p>
    <w:p>
      <w:pPr>
        <w:pStyle w:val="BodyText"/>
        <w:ind w:left="472"/>
        <w:spacing w:before="175" w:line="452" w:lineRule="exact"/>
        <w:rPr>
          <w:sz w:val="24"/>
          <w:szCs w:val="24"/>
        </w:rPr>
      </w:pPr>
      <w:r>
        <w:rPr>
          <w:rFonts w:ascii="Times New Roman" w:hAnsi="Times New Roman" w:eastAsia="Times New Roman" w:cs="Times New Roman"/>
          <w:sz w:val="24"/>
          <w:szCs w:val="24"/>
          <w:spacing w:val="-4"/>
          <w:position w:val="16"/>
        </w:rPr>
        <w:t>9.</w:t>
      </w:r>
      <w:r>
        <w:rPr>
          <w:sz w:val="24"/>
          <w:szCs w:val="24"/>
          <w:spacing w:val="-4"/>
          <w:position w:val="16"/>
        </w:rPr>
        <w:t>《</w:t>
      </w:r>
      <w:r>
        <w:rPr>
          <w:rFonts w:ascii="Times New Roman" w:hAnsi="Times New Roman" w:eastAsia="Times New Roman" w:cs="Times New Roman"/>
          <w:sz w:val="24"/>
          <w:szCs w:val="24"/>
          <w:spacing w:val="-4"/>
          <w:position w:val="16"/>
        </w:rPr>
        <w:t>XX</w:t>
      </w:r>
      <w:r>
        <w:rPr>
          <w:rFonts w:ascii="Times New Roman" w:hAnsi="Times New Roman" w:eastAsia="Times New Roman" w:cs="Times New Roman"/>
          <w:sz w:val="24"/>
          <w:szCs w:val="24"/>
          <w:spacing w:val="-11"/>
          <w:position w:val="16"/>
        </w:rPr>
        <w:t xml:space="preserve"> </w:t>
      </w:r>
      <w:r>
        <w:rPr>
          <w:sz w:val="24"/>
          <w:szCs w:val="24"/>
          <w:spacing w:val="-4"/>
          <w:position w:val="16"/>
        </w:rPr>
        <w:t>井田煤炭资源勘探地质报告》;</w:t>
      </w:r>
    </w:p>
    <w:p>
      <w:pPr>
        <w:pStyle w:val="BodyText"/>
        <w:ind w:left="472"/>
        <w:spacing w:line="219" w:lineRule="auto"/>
        <w:rPr>
          <w:sz w:val="24"/>
          <w:szCs w:val="24"/>
        </w:rPr>
      </w:pPr>
      <w:r>
        <w:rPr>
          <w:sz w:val="24"/>
          <w:szCs w:val="24"/>
          <w:spacing w:val="-8"/>
        </w:rPr>
        <w:t>10.</w:t>
      </w:r>
      <w:r>
        <w:rPr>
          <w:sz w:val="24"/>
          <w:szCs w:val="24"/>
          <w:spacing w:val="-49"/>
        </w:rPr>
        <w:t xml:space="preserve"> </w:t>
      </w:r>
      <w:r>
        <w:rPr>
          <w:sz w:val="24"/>
          <w:szCs w:val="24"/>
          <w:spacing w:val="-8"/>
        </w:rPr>
        <w:t>《XX初步设计》及批复；</w:t>
      </w:r>
    </w:p>
    <w:p>
      <w:pPr>
        <w:pStyle w:val="BodyText"/>
        <w:ind w:left="472"/>
        <w:spacing w:before="176" w:line="220" w:lineRule="auto"/>
        <w:rPr>
          <w:sz w:val="24"/>
          <w:szCs w:val="24"/>
        </w:rPr>
      </w:pPr>
      <w:r>
        <w:rPr>
          <w:sz w:val="24"/>
          <w:szCs w:val="24"/>
          <w:spacing w:val="-10"/>
        </w:rPr>
        <w:t>11.</w:t>
      </w:r>
      <w:r>
        <w:rPr>
          <w:sz w:val="24"/>
          <w:szCs w:val="24"/>
          <w:spacing w:val="-48"/>
        </w:rPr>
        <w:t xml:space="preserve"> </w:t>
      </w:r>
      <w:r>
        <w:rPr>
          <w:sz w:val="24"/>
          <w:szCs w:val="24"/>
          <w:spacing w:val="-10"/>
        </w:rPr>
        <w:t>《XX</w:t>
      </w:r>
      <w:r>
        <w:rPr>
          <w:sz w:val="24"/>
          <w:szCs w:val="24"/>
          <w:spacing w:val="-67"/>
        </w:rPr>
        <w:t xml:space="preserve"> </w:t>
      </w:r>
      <w:r>
        <w:rPr>
          <w:sz w:val="24"/>
          <w:szCs w:val="24"/>
          <w:spacing w:val="-10"/>
        </w:rPr>
        <w:t>安全设施设计》及批复；</w:t>
      </w:r>
    </w:p>
    <w:p>
      <w:pPr>
        <w:ind w:left="472"/>
        <w:spacing w:before="178" w:line="220" w:lineRule="auto"/>
        <w:rPr>
          <w:rFonts w:ascii="FangSong" w:hAnsi="FangSong" w:eastAsia="FangSong" w:cs="FangSong"/>
          <w:sz w:val="24"/>
          <w:szCs w:val="24"/>
        </w:rPr>
      </w:pPr>
      <w:r>
        <w:rPr>
          <w:rFonts w:ascii="FangSong" w:hAnsi="FangSong" w:eastAsia="FangSong" w:cs="FangSong"/>
          <w:sz w:val="24"/>
          <w:szCs w:val="24"/>
          <w:spacing w:val="-1"/>
        </w:rPr>
        <w:t>12.</w:t>
      </w:r>
      <w:r>
        <w:rPr>
          <w:rFonts w:ascii="FangSong" w:hAnsi="FangSong" w:eastAsia="FangSong" w:cs="FangSong"/>
          <w:sz w:val="24"/>
          <w:szCs w:val="24"/>
          <w:spacing w:val="-1"/>
        </w:rPr>
        <w:t xml:space="preserve"> </w:t>
      </w:r>
      <w:r>
        <w:rPr>
          <w:rFonts w:ascii="FangSong" w:hAnsi="FangSong" w:eastAsia="FangSong" w:cs="FangSong"/>
          <w:sz w:val="24"/>
          <w:szCs w:val="24"/>
          <w:spacing w:val="-1"/>
        </w:rPr>
        <w:t>《贵州省煤矿瓦斯灾害防治攻坚行动方案》</w:t>
      </w:r>
      <w:r>
        <w:rPr>
          <w:rFonts w:ascii="FangSong" w:hAnsi="FangSong" w:eastAsia="FangSong" w:cs="FangSong"/>
          <w:sz w:val="24"/>
          <w:szCs w:val="24"/>
          <w:spacing w:val="100"/>
        </w:rPr>
        <w:t xml:space="preserve"> </w:t>
      </w:r>
      <w:r>
        <w:rPr>
          <w:rFonts w:ascii="FangSong" w:hAnsi="FangSong" w:eastAsia="FangSong" w:cs="FangSong"/>
          <w:sz w:val="24"/>
          <w:szCs w:val="24"/>
          <w:spacing w:val="-1"/>
        </w:rPr>
        <w:t>(黔府办函</w:t>
      </w:r>
      <w:r>
        <w:rPr>
          <w:rFonts w:ascii="FangSong" w:hAnsi="FangSong" w:eastAsia="FangSong" w:cs="FangSong"/>
          <w:sz w:val="24"/>
          <w:szCs w:val="24"/>
          <w:spacing w:val="-2"/>
        </w:rPr>
        <w:t>〔2018〕204号);</w:t>
      </w:r>
    </w:p>
    <w:p>
      <w:pPr>
        <w:spacing w:before="164" w:line="474" w:lineRule="exact"/>
        <w:jc w:val="right"/>
        <w:rPr>
          <w:rFonts w:ascii="FangSong" w:hAnsi="FangSong" w:eastAsia="FangSong" w:cs="FangSong"/>
          <w:sz w:val="24"/>
          <w:szCs w:val="24"/>
        </w:rPr>
      </w:pPr>
      <w:r>
        <w:rPr>
          <w:rFonts w:ascii="FangSong" w:hAnsi="FangSong" w:eastAsia="FangSong" w:cs="FangSong"/>
          <w:sz w:val="24"/>
          <w:szCs w:val="24"/>
          <w:spacing w:val="-7"/>
          <w:position w:val="17"/>
        </w:rPr>
        <w:t>13.</w:t>
      </w:r>
      <w:r>
        <w:rPr>
          <w:rFonts w:ascii="FangSong" w:hAnsi="FangSong" w:eastAsia="FangSong" w:cs="FangSong"/>
          <w:sz w:val="24"/>
          <w:szCs w:val="24"/>
          <w:spacing w:val="-7"/>
          <w:position w:val="17"/>
        </w:rPr>
        <w:t xml:space="preserve"> </w:t>
      </w:r>
      <w:r>
        <w:rPr>
          <w:rFonts w:ascii="FangSong" w:hAnsi="FangSong" w:eastAsia="FangSong" w:cs="FangSong"/>
          <w:sz w:val="24"/>
          <w:szCs w:val="24"/>
          <w:spacing w:val="-7"/>
          <w:position w:val="17"/>
        </w:rPr>
        <w:t>《省人民政府关于强化煤矿瓦斯防治攻坚进一步加强煤矿安全</w:t>
      </w:r>
      <w:r>
        <w:rPr>
          <w:rFonts w:ascii="FangSong" w:hAnsi="FangSong" w:eastAsia="FangSong" w:cs="FangSong"/>
          <w:sz w:val="24"/>
          <w:szCs w:val="24"/>
          <w:spacing w:val="-8"/>
          <w:position w:val="17"/>
        </w:rPr>
        <w:t>生产工作的意见》</w:t>
      </w:r>
      <w:r>
        <w:rPr>
          <w:rFonts w:ascii="FangSong" w:hAnsi="FangSong" w:eastAsia="FangSong" w:cs="FangSong"/>
          <w:sz w:val="24"/>
          <w:szCs w:val="24"/>
          <w:spacing w:val="-8"/>
          <w:position w:val="17"/>
        </w:rPr>
        <w:t xml:space="preserve">  </w:t>
      </w:r>
      <w:r>
        <w:rPr>
          <w:rFonts w:ascii="FangSong" w:hAnsi="FangSong" w:eastAsia="FangSong" w:cs="FangSong"/>
          <w:sz w:val="24"/>
          <w:szCs w:val="24"/>
          <w:spacing w:val="-8"/>
          <w:position w:val="17"/>
        </w:rPr>
        <w:t>(</w:t>
      </w:r>
      <w:r>
        <w:rPr>
          <w:rFonts w:ascii="FangSong" w:hAnsi="FangSong" w:eastAsia="FangSong" w:cs="FangSong"/>
          <w:sz w:val="24"/>
          <w:szCs w:val="24"/>
          <w:spacing w:val="-44"/>
          <w:position w:val="17"/>
        </w:rPr>
        <w:t xml:space="preserve"> </w:t>
      </w:r>
      <w:r>
        <w:rPr>
          <w:rFonts w:ascii="FangSong" w:hAnsi="FangSong" w:eastAsia="FangSong" w:cs="FangSong"/>
          <w:sz w:val="24"/>
          <w:szCs w:val="24"/>
          <w:spacing w:val="-8"/>
          <w:position w:val="17"/>
        </w:rPr>
        <w:t>黔</w:t>
      </w:r>
    </w:p>
    <w:p>
      <w:pPr>
        <w:pStyle w:val="BodyText"/>
        <w:ind w:left="2"/>
        <w:spacing w:before="1" w:line="218" w:lineRule="auto"/>
        <w:rPr>
          <w:sz w:val="24"/>
          <w:szCs w:val="24"/>
        </w:rPr>
      </w:pPr>
      <w:r>
        <w:rPr>
          <w:sz w:val="24"/>
          <w:szCs w:val="24"/>
          <w:spacing w:val="10"/>
        </w:rPr>
        <w:t>府办发〔2020〕3号);</w:t>
      </w:r>
    </w:p>
    <w:p>
      <w:pPr>
        <w:pStyle w:val="BodyText"/>
        <w:ind w:right="47"/>
        <w:spacing w:before="156" w:line="470" w:lineRule="exact"/>
        <w:jc w:val="right"/>
        <w:rPr>
          <w:sz w:val="24"/>
          <w:szCs w:val="24"/>
        </w:rPr>
      </w:pPr>
      <w:r>
        <w:rPr>
          <w:sz w:val="24"/>
          <w:szCs w:val="24"/>
          <w:spacing w:val="-4"/>
          <w:position w:val="17"/>
        </w:rPr>
        <w:t>14. 《省人民政府办公厅关于开展煤矿瓦斯防治攻坚年行动进一步提升瓦斯治理能力的实</w:t>
      </w:r>
    </w:p>
    <w:p>
      <w:pPr>
        <w:pStyle w:val="BodyText"/>
        <w:ind w:left="2"/>
        <w:spacing w:before="1" w:line="218" w:lineRule="auto"/>
        <w:rPr>
          <w:sz w:val="24"/>
          <w:szCs w:val="24"/>
        </w:rPr>
      </w:pPr>
      <w:r>
        <w:rPr>
          <w:sz w:val="24"/>
          <w:szCs w:val="24"/>
          <w:spacing w:val="2"/>
        </w:rPr>
        <w:t>施意见》</w:t>
      </w:r>
      <w:r>
        <w:rPr>
          <w:sz w:val="24"/>
          <w:szCs w:val="24"/>
          <w:spacing w:val="121"/>
        </w:rPr>
        <w:t xml:space="preserve"> </w:t>
      </w:r>
      <w:r>
        <w:rPr>
          <w:sz w:val="24"/>
          <w:szCs w:val="24"/>
          <w:spacing w:val="2"/>
        </w:rPr>
        <w:t>(黔府办发〔2020〕6号);</w:t>
      </w:r>
    </w:p>
    <w:p>
      <w:pPr>
        <w:pStyle w:val="BodyText"/>
        <w:ind w:left="472"/>
        <w:spacing w:before="174" w:line="218" w:lineRule="auto"/>
        <w:rPr>
          <w:sz w:val="24"/>
          <w:szCs w:val="24"/>
        </w:rPr>
      </w:pPr>
      <w:r>
        <w:rPr>
          <w:sz w:val="24"/>
          <w:szCs w:val="24"/>
          <w:spacing w:val="-2"/>
        </w:rPr>
        <w:t>15.对采掘活动造成威胁的煤层突出危险</w:t>
      </w:r>
      <w:r>
        <w:rPr>
          <w:sz w:val="24"/>
          <w:szCs w:val="24"/>
          <w:spacing w:val="-3"/>
        </w:rPr>
        <w:t>性鉴定报告或瓦斯参数测定报告。</w:t>
      </w:r>
    </w:p>
    <w:p>
      <w:pPr>
        <w:pStyle w:val="BodyText"/>
        <w:ind w:left="3676"/>
        <w:spacing w:before="157" w:line="219" w:lineRule="auto"/>
        <w:rPr>
          <w:sz w:val="29"/>
          <w:szCs w:val="29"/>
        </w:rPr>
      </w:pPr>
      <w:r>
        <w:rPr>
          <w:sz w:val="29"/>
          <w:szCs w:val="29"/>
          <w:b/>
          <w:bCs/>
          <w:spacing w:val="4"/>
        </w:rPr>
        <w:t>第二节</w:t>
      </w:r>
      <w:r>
        <w:rPr>
          <w:sz w:val="29"/>
          <w:szCs w:val="29"/>
          <w:spacing w:val="4"/>
        </w:rPr>
        <w:t xml:space="preserve">  </w:t>
      </w:r>
      <w:r>
        <w:rPr>
          <w:sz w:val="29"/>
          <w:szCs w:val="29"/>
          <w:b/>
          <w:bCs/>
          <w:spacing w:val="4"/>
        </w:rPr>
        <w:t>设计指导思想</w:t>
      </w:r>
    </w:p>
    <w:p>
      <w:pPr>
        <w:spacing w:before="134" w:line="463" w:lineRule="exact"/>
        <w:jc w:val="right"/>
        <w:rPr>
          <w:rFonts w:ascii="FangSong" w:hAnsi="FangSong" w:eastAsia="FangSong" w:cs="FangSong"/>
          <w:sz w:val="24"/>
          <w:szCs w:val="24"/>
        </w:rPr>
      </w:pPr>
      <w:r>
        <w:rPr>
          <w:rFonts w:ascii="FangSong" w:hAnsi="FangSong" w:eastAsia="FangSong" w:cs="FangSong"/>
          <w:sz w:val="24"/>
          <w:szCs w:val="24"/>
          <w:spacing w:val="-8"/>
          <w:position w:val="16"/>
        </w:rPr>
        <w:t>1.贯彻“区域防突措施先行、局部防突措施补充”和“不掘突</w:t>
      </w:r>
      <w:r>
        <w:rPr>
          <w:rFonts w:ascii="FangSong" w:hAnsi="FangSong" w:eastAsia="FangSong" w:cs="FangSong"/>
          <w:sz w:val="24"/>
          <w:szCs w:val="24"/>
          <w:spacing w:val="-9"/>
          <w:position w:val="16"/>
        </w:rPr>
        <w:t>出头、不采突出面”的理念，</w:t>
      </w:r>
    </w:p>
    <w:p>
      <w:pPr>
        <w:pStyle w:val="BodyText"/>
        <w:ind w:left="2"/>
        <w:spacing w:before="1" w:line="219" w:lineRule="auto"/>
        <w:rPr>
          <w:sz w:val="24"/>
          <w:szCs w:val="24"/>
        </w:rPr>
      </w:pPr>
      <w:r>
        <w:rPr>
          <w:sz w:val="24"/>
          <w:szCs w:val="24"/>
          <w:spacing w:val="-2"/>
        </w:rPr>
        <w:t>严格执行区域和局部“两个四位一体”的综合防突措施。</w:t>
      </w:r>
    </w:p>
    <w:p>
      <w:pPr>
        <w:pStyle w:val="BodyText"/>
        <w:ind w:right="52"/>
        <w:spacing w:before="184" w:line="450" w:lineRule="exact"/>
        <w:jc w:val="right"/>
        <w:rPr>
          <w:sz w:val="24"/>
          <w:szCs w:val="24"/>
        </w:rPr>
      </w:pPr>
      <w:r>
        <w:rPr>
          <w:sz w:val="24"/>
          <w:szCs w:val="24"/>
          <w:spacing w:val="-4"/>
          <w:position w:val="15"/>
        </w:rPr>
        <w:t>2.根据“通风可靠、抽采达标、监控有效、管理到位”的瓦斯综合治理工作体系要求，因</w:t>
      </w:r>
    </w:p>
    <w:p>
      <w:pPr>
        <w:pStyle w:val="BodyText"/>
        <w:ind w:left="2"/>
        <w:spacing w:before="1" w:line="218" w:lineRule="auto"/>
        <w:rPr>
          <w:sz w:val="24"/>
          <w:szCs w:val="24"/>
        </w:rPr>
      </w:pPr>
      <w:r>
        <w:rPr>
          <w:sz w:val="24"/>
          <w:szCs w:val="24"/>
          <w:spacing w:val="-1"/>
        </w:rPr>
        <w:t>地制宜地采用新技术、新工艺、新设备，建设</w:t>
      </w:r>
      <w:r>
        <w:rPr>
          <w:sz w:val="24"/>
          <w:szCs w:val="24"/>
          <w:spacing w:val="-2"/>
        </w:rPr>
        <w:t>安全、高效、环保的矿井。</w:t>
      </w:r>
    </w:p>
    <w:p>
      <w:pPr>
        <w:pStyle w:val="BodyText"/>
        <w:spacing w:before="183" w:line="450" w:lineRule="exact"/>
        <w:jc w:val="right"/>
        <w:rPr>
          <w:sz w:val="24"/>
          <w:szCs w:val="24"/>
        </w:rPr>
      </w:pPr>
      <w:r>
        <w:rPr>
          <w:sz w:val="24"/>
          <w:szCs w:val="24"/>
          <w:spacing w:val="1"/>
          <w:position w:val="16"/>
        </w:rPr>
        <w:t>3.做到“多措并举、可保必保、应抽尽抽</w:t>
      </w:r>
      <w:r>
        <w:rPr>
          <w:sz w:val="24"/>
          <w:szCs w:val="24"/>
          <w:position w:val="16"/>
        </w:rPr>
        <w:t>、效果达标”,并正确处理安全与生产的矛盾。</w:t>
      </w:r>
    </w:p>
    <w:p>
      <w:pPr>
        <w:ind w:left="472"/>
        <w:spacing w:before="1" w:line="220" w:lineRule="auto"/>
        <w:rPr>
          <w:rFonts w:ascii="FangSong" w:hAnsi="FangSong" w:eastAsia="FangSong" w:cs="FangSong"/>
          <w:sz w:val="24"/>
          <w:szCs w:val="24"/>
        </w:rPr>
      </w:pPr>
      <w:r>
        <w:rPr>
          <w:rFonts w:ascii="FangSong" w:hAnsi="FangSong" w:eastAsia="FangSong" w:cs="FangSong"/>
          <w:sz w:val="24"/>
          <w:szCs w:val="24"/>
          <w:spacing w:val="-2"/>
        </w:rPr>
        <w:t>4.本着经济合理、技术可行、安全可靠、方便实用的指导思想进</w:t>
      </w:r>
      <w:r>
        <w:rPr>
          <w:rFonts w:ascii="FangSong" w:hAnsi="FangSong" w:eastAsia="FangSong" w:cs="FangSong"/>
          <w:sz w:val="24"/>
          <w:szCs w:val="24"/>
          <w:spacing w:val="-3"/>
        </w:rPr>
        <w:t>行设计。</w:t>
      </w:r>
    </w:p>
    <w:p>
      <w:pPr>
        <w:ind w:left="2776"/>
        <w:spacing w:before="141" w:line="224" w:lineRule="auto"/>
        <w:rPr>
          <w:rFonts w:ascii="KaiTi" w:hAnsi="KaiTi" w:eastAsia="KaiTi" w:cs="KaiTi"/>
          <w:sz w:val="29"/>
          <w:szCs w:val="29"/>
        </w:rPr>
      </w:pPr>
      <w:r>
        <w:rPr>
          <w:rFonts w:ascii="KaiTi" w:hAnsi="KaiTi" w:eastAsia="KaiTi" w:cs="KaiTi"/>
          <w:sz w:val="29"/>
          <w:szCs w:val="29"/>
          <w:b/>
          <w:bCs/>
          <w:spacing w:val="4"/>
        </w:rPr>
        <w:t>第三节</w:t>
      </w:r>
      <w:r>
        <w:rPr>
          <w:rFonts w:ascii="KaiTi" w:hAnsi="KaiTi" w:eastAsia="KaiTi" w:cs="KaiTi"/>
          <w:sz w:val="29"/>
          <w:szCs w:val="29"/>
          <w:spacing w:val="7"/>
        </w:rPr>
        <w:t xml:space="preserve">  </w:t>
      </w:r>
      <w:r>
        <w:rPr>
          <w:rFonts w:ascii="KaiTi" w:hAnsi="KaiTi" w:eastAsia="KaiTi" w:cs="KaiTi"/>
          <w:sz w:val="29"/>
          <w:szCs w:val="29"/>
          <w:b/>
          <w:bCs/>
          <w:spacing w:val="4"/>
        </w:rPr>
        <w:t>存在的主要问题及安全措施</w:t>
      </w:r>
    </w:p>
    <w:p>
      <w:pPr>
        <w:spacing w:line="224" w:lineRule="auto"/>
        <w:sectPr>
          <w:headerReference w:type="default" r:id="rId8"/>
          <w:footerReference w:type="default" r:id="rId9"/>
          <w:pgSz w:w="11900" w:h="16940"/>
          <w:pgMar w:top="934" w:right="1089" w:bottom="853" w:left="1077" w:header="744" w:footer="664" w:gutter="0"/>
        </w:sectPr>
        <w:rPr>
          <w:rFonts w:ascii="KaiTi" w:hAnsi="KaiTi" w:eastAsia="KaiTi" w:cs="KaiTi"/>
          <w:sz w:val="29"/>
          <w:szCs w:val="29"/>
        </w:rPr>
      </w:pPr>
    </w:p>
    <w:p>
      <w:pPr>
        <w:spacing w:line="434" w:lineRule="auto"/>
        <w:rPr>
          <w:rFonts w:ascii="Arial"/>
          <w:sz w:val="21"/>
        </w:rPr>
      </w:pPr>
      <w:r/>
    </w:p>
    <w:p>
      <w:pPr>
        <w:pStyle w:val="BodyText"/>
        <w:ind w:left="3470"/>
        <w:spacing w:before="113" w:line="510" w:lineRule="exact"/>
        <w:rPr>
          <w:sz w:val="35"/>
          <w:szCs w:val="35"/>
        </w:rPr>
      </w:pPr>
      <w:bookmarkStart w:name="bookmark19" w:id="10"/>
      <w:bookmarkEnd w:id="10"/>
      <w:r>
        <w:rPr>
          <w:sz w:val="35"/>
          <w:szCs w:val="35"/>
          <w:b/>
          <w:bCs/>
          <w:spacing w:val="2"/>
          <w:position w:val="11"/>
        </w:rPr>
        <w:t>第一章</w:t>
      </w:r>
      <w:r>
        <w:rPr>
          <w:sz w:val="35"/>
          <w:szCs w:val="35"/>
          <w:spacing w:val="2"/>
          <w:position w:val="11"/>
        </w:rPr>
        <w:t xml:space="preserve">  </w:t>
      </w:r>
      <w:r>
        <w:rPr>
          <w:sz w:val="35"/>
          <w:szCs w:val="35"/>
          <w:b/>
          <w:bCs/>
          <w:spacing w:val="2"/>
          <w:position w:val="11"/>
        </w:rPr>
        <w:t>矿井概况</w:t>
      </w:r>
    </w:p>
    <w:p>
      <w:pPr>
        <w:pStyle w:val="BodyText"/>
        <w:ind w:left="3989"/>
        <w:spacing w:line="219" w:lineRule="auto"/>
        <w:rPr>
          <w:sz w:val="29"/>
          <w:szCs w:val="29"/>
        </w:rPr>
      </w:pPr>
      <w:r>
        <w:rPr>
          <w:sz w:val="29"/>
          <w:szCs w:val="29"/>
          <w:b/>
          <w:bCs/>
          <w:spacing w:val="-2"/>
        </w:rPr>
        <w:t>第一节</w:t>
      </w:r>
      <w:r>
        <w:rPr>
          <w:sz w:val="29"/>
          <w:szCs w:val="29"/>
          <w:spacing w:val="17"/>
        </w:rPr>
        <w:t xml:space="preserve">  </w:t>
      </w:r>
      <w:r>
        <w:rPr>
          <w:sz w:val="29"/>
          <w:szCs w:val="29"/>
          <w:b/>
          <w:bCs/>
          <w:spacing w:val="-2"/>
        </w:rPr>
        <w:t>井田概况</w:t>
      </w:r>
    </w:p>
    <w:p>
      <w:pPr>
        <w:pStyle w:val="BodyText"/>
        <w:ind w:left="485"/>
        <w:spacing w:before="164" w:line="452" w:lineRule="exact"/>
        <w:rPr>
          <w:sz w:val="24"/>
          <w:szCs w:val="24"/>
        </w:rPr>
      </w:pPr>
      <w:r>
        <w:rPr>
          <w:sz w:val="24"/>
          <w:szCs w:val="24"/>
          <w:spacing w:val="6"/>
          <w:position w:val="16"/>
        </w:rPr>
        <w:t>介绍矿井基本情况(所在县、乡镇),周边矿井情况</w:t>
      </w:r>
      <w:r>
        <w:rPr>
          <w:sz w:val="24"/>
          <w:szCs w:val="24"/>
          <w:spacing w:val="5"/>
          <w:position w:val="16"/>
        </w:rPr>
        <w:t>，所在构造单元。矿井范围拐点坐标</w:t>
      </w:r>
    </w:p>
    <w:p>
      <w:pPr>
        <w:pStyle w:val="BodyText"/>
        <w:ind w:left="5"/>
        <w:spacing w:line="218" w:lineRule="auto"/>
        <w:rPr>
          <w:sz w:val="24"/>
          <w:szCs w:val="24"/>
        </w:rPr>
      </w:pPr>
      <w:r>
        <w:rPr>
          <w:sz w:val="24"/>
          <w:szCs w:val="24"/>
          <w:spacing w:val="-1"/>
        </w:rPr>
        <w:t>表、矿区面积、许可开采标高、井口标高。煤矿所在区域地形地貌简介。附矿</w:t>
      </w:r>
      <w:r>
        <w:rPr>
          <w:sz w:val="24"/>
          <w:szCs w:val="24"/>
          <w:spacing w:val="-2"/>
        </w:rPr>
        <w:t>井位置图。</w:t>
      </w:r>
    </w:p>
    <w:p>
      <w:pPr>
        <w:ind w:left="3239"/>
        <w:spacing w:before="111" w:line="224" w:lineRule="auto"/>
        <w:rPr>
          <w:rFonts w:ascii="KaiTi" w:hAnsi="KaiTi" w:eastAsia="KaiTi" w:cs="KaiTi"/>
          <w:sz w:val="29"/>
          <w:szCs w:val="29"/>
        </w:rPr>
      </w:pPr>
      <w:r>
        <w:rPr>
          <w:rFonts w:ascii="KaiTi" w:hAnsi="KaiTi" w:eastAsia="KaiTi" w:cs="KaiTi"/>
          <w:sz w:val="29"/>
          <w:szCs w:val="29"/>
          <w:b/>
          <w:bCs/>
          <w:spacing w:val="6"/>
        </w:rPr>
        <w:t>第二节</w:t>
      </w:r>
      <w:r>
        <w:rPr>
          <w:rFonts w:ascii="KaiTi" w:hAnsi="KaiTi" w:eastAsia="KaiTi" w:cs="KaiTi"/>
          <w:sz w:val="29"/>
          <w:szCs w:val="29"/>
          <w:spacing w:val="5"/>
        </w:rPr>
        <w:t xml:space="preserve">  </w:t>
      </w:r>
      <w:r>
        <w:rPr>
          <w:rFonts w:ascii="KaiTi" w:hAnsi="KaiTi" w:eastAsia="KaiTi" w:cs="KaiTi"/>
          <w:sz w:val="29"/>
          <w:szCs w:val="29"/>
          <w:b/>
          <w:bCs/>
          <w:spacing w:val="6"/>
        </w:rPr>
        <w:t>地层及地质构造情况</w:t>
      </w:r>
    </w:p>
    <w:p>
      <w:pPr>
        <w:ind w:left="488"/>
        <w:spacing w:before="204" w:line="200" w:lineRule="auto"/>
        <w:outlineLvl w:val="1"/>
        <w:rPr>
          <w:rFonts w:ascii="STXingkai" w:hAnsi="STXingkai" w:eastAsia="STXingkai" w:cs="STXingkai"/>
          <w:sz w:val="24"/>
          <w:szCs w:val="24"/>
        </w:rPr>
      </w:pPr>
      <w:r>
        <w:rPr>
          <w:rFonts w:ascii="STXingkai" w:hAnsi="STXingkai" w:eastAsia="STXingkai" w:cs="STXingkai"/>
          <w:sz w:val="24"/>
          <w:szCs w:val="24"/>
          <w:b/>
          <w:bCs/>
          <w:spacing w:val="-13"/>
        </w:rPr>
        <w:t>一</w:t>
      </w:r>
      <w:r>
        <w:rPr>
          <w:rFonts w:ascii="STXingkai" w:hAnsi="STXingkai" w:eastAsia="STXingkai" w:cs="STXingkai"/>
          <w:sz w:val="24"/>
          <w:szCs w:val="24"/>
          <w:spacing w:val="-29"/>
        </w:rPr>
        <w:t xml:space="preserve"> </w:t>
      </w:r>
      <w:r>
        <w:rPr>
          <w:rFonts w:ascii="STXingkai" w:hAnsi="STXingkai" w:eastAsia="STXingkai" w:cs="STXingkai"/>
          <w:sz w:val="24"/>
          <w:szCs w:val="24"/>
          <w:b/>
          <w:bCs/>
          <w:spacing w:val="-13"/>
        </w:rPr>
        <w:t>、地层概况</w:t>
      </w:r>
    </w:p>
    <w:p>
      <w:pPr>
        <w:pStyle w:val="BodyText"/>
        <w:ind w:left="485"/>
        <w:spacing w:before="166" w:line="219" w:lineRule="auto"/>
        <w:rPr>
          <w:sz w:val="24"/>
          <w:szCs w:val="24"/>
        </w:rPr>
      </w:pPr>
      <w:r>
        <w:rPr>
          <w:sz w:val="24"/>
          <w:szCs w:val="24"/>
          <w:spacing w:val="-2"/>
        </w:rPr>
        <w:t>介绍井田范围内出露的地层分布情况与岩性特征。</w:t>
      </w:r>
    </w:p>
    <w:p>
      <w:pPr>
        <w:pStyle w:val="BodyText"/>
        <w:ind w:left="488"/>
        <w:spacing w:before="164" w:line="220" w:lineRule="auto"/>
        <w:outlineLvl w:val="0"/>
        <w:rPr>
          <w:sz w:val="24"/>
          <w:szCs w:val="24"/>
        </w:rPr>
      </w:pPr>
      <w:r>
        <w:rPr>
          <w:sz w:val="24"/>
          <w:szCs w:val="24"/>
          <w:b/>
          <w:bCs/>
          <w:spacing w:val="-9"/>
        </w:rPr>
        <w:t>二、地质构造</w:t>
      </w:r>
    </w:p>
    <w:p>
      <w:pPr>
        <w:pStyle w:val="BodyText"/>
        <w:ind w:left="485"/>
        <w:spacing w:before="177" w:line="219" w:lineRule="auto"/>
        <w:rPr>
          <w:sz w:val="24"/>
          <w:szCs w:val="24"/>
        </w:rPr>
      </w:pPr>
      <w:r>
        <w:rPr>
          <w:sz w:val="24"/>
          <w:szCs w:val="24"/>
          <w:spacing w:val="-3"/>
        </w:rPr>
        <w:t>说明矿井的区域构造、井田构造及其他地质构造情况，主要地质构造性质参数表。</w:t>
      </w:r>
    </w:p>
    <w:p>
      <w:pPr>
        <w:ind w:left="3699"/>
        <w:spacing w:before="116" w:line="219" w:lineRule="auto"/>
        <w:rPr>
          <w:rFonts w:ascii="FangSong" w:hAnsi="FangSong" w:eastAsia="FangSong" w:cs="FangSong"/>
          <w:sz w:val="29"/>
          <w:szCs w:val="29"/>
        </w:rPr>
      </w:pPr>
      <w:r>
        <w:rPr>
          <w:rFonts w:ascii="FangSong" w:hAnsi="FangSong" w:eastAsia="FangSong" w:cs="FangSong"/>
          <w:sz w:val="29"/>
          <w:szCs w:val="29"/>
          <w:b/>
          <w:bCs/>
          <w:spacing w:val="5"/>
        </w:rPr>
        <w:t>第三节</w:t>
      </w:r>
      <w:r>
        <w:rPr>
          <w:rFonts w:ascii="FangSong" w:hAnsi="FangSong" w:eastAsia="FangSong" w:cs="FangSong"/>
          <w:sz w:val="29"/>
          <w:szCs w:val="29"/>
          <w:spacing w:val="5"/>
        </w:rPr>
        <w:t xml:space="preserve">  </w:t>
      </w:r>
      <w:r>
        <w:rPr>
          <w:rFonts w:ascii="FangSong" w:hAnsi="FangSong" w:eastAsia="FangSong" w:cs="FangSong"/>
          <w:sz w:val="29"/>
          <w:szCs w:val="29"/>
          <w:b/>
          <w:bCs/>
          <w:spacing w:val="5"/>
        </w:rPr>
        <w:t>煤层赋存情况</w:t>
      </w:r>
    </w:p>
    <w:p>
      <w:pPr>
        <w:spacing w:line="269" w:lineRule="auto"/>
        <w:rPr>
          <w:rFonts w:ascii="Arial"/>
          <w:sz w:val="21"/>
        </w:rPr>
      </w:pPr>
      <w:r/>
    </w:p>
    <w:p>
      <w:pPr>
        <w:spacing w:line="269" w:lineRule="auto"/>
        <w:rPr>
          <w:rFonts w:ascii="Arial"/>
          <w:sz w:val="21"/>
        </w:rPr>
      </w:pPr>
      <w:r/>
    </w:p>
    <w:p>
      <w:pPr>
        <w:ind w:left="488"/>
        <w:spacing w:before="82" w:line="334" w:lineRule="exact"/>
        <w:outlineLvl w:val="0"/>
        <w:rPr>
          <w:rFonts w:ascii="STXingkai" w:hAnsi="STXingkai" w:eastAsia="STXingkai" w:cs="STXingkai"/>
          <w:sz w:val="24"/>
          <w:szCs w:val="24"/>
        </w:rPr>
      </w:pPr>
      <w:r>
        <w:rPr>
          <w:rFonts w:ascii="STXingkai" w:hAnsi="STXingkai" w:eastAsia="STXingkai" w:cs="STXingkai"/>
          <w:sz w:val="24"/>
          <w:szCs w:val="24"/>
          <w:b/>
          <w:bCs/>
          <w:spacing w:val="-10"/>
          <w:position w:val="3"/>
        </w:rPr>
        <w:t>一</w:t>
      </w:r>
      <w:r>
        <w:rPr>
          <w:rFonts w:ascii="STXingkai" w:hAnsi="STXingkai" w:eastAsia="STXingkai" w:cs="STXingkai"/>
          <w:sz w:val="24"/>
          <w:szCs w:val="24"/>
          <w:spacing w:val="-28"/>
          <w:position w:val="3"/>
        </w:rPr>
        <w:t xml:space="preserve"> </w:t>
      </w:r>
      <w:r>
        <w:rPr>
          <w:rFonts w:ascii="STXingkai" w:hAnsi="STXingkai" w:eastAsia="STXingkai" w:cs="STXingkai"/>
          <w:sz w:val="24"/>
          <w:szCs w:val="24"/>
          <w:b/>
          <w:bCs/>
          <w:spacing w:val="-10"/>
          <w:position w:val="3"/>
        </w:rPr>
        <w:t>、煤系地层、煤层特征</w:t>
      </w:r>
    </w:p>
    <w:p>
      <w:pPr>
        <w:pStyle w:val="BodyText"/>
        <w:spacing w:before="146" w:line="440" w:lineRule="exact"/>
        <w:jc w:val="right"/>
        <w:rPr>
          <w:sz w:val="24"/>
          <w:szCs w:val="24"/>
        </w:rPr>
      </w:pPr>
      <w:r>
        <w:rPr>
          <w:sz w:val="24"/>
          <w:szCs w:val="24"/>
          <w:spacing w:val="-1"/>
          <w:position w:val="15"/>
        </w:rPr>
        <w:t>介绍煤系地层基本特征，对采掘活动有威胁的厚度0.3m及以上煤层</w:t>
      </w:r>
      <w:r>
        <w:rPr>
          <w:sz w:val="24"/>
          <w:szCs w:val="24"/>
          <w:spacing w:val="-2"/>
          <w:position w:val="15"/>
        </w:rPr>
        <w:t>的位置、厚度、倾角、</w:t>
      </w:r>
    </w:p>
    <w:p>
      <w:pPr>
        <w:pStyle w:val="BodyText"/>
        <w:ind w:left="5"/>
        <w:spacing w:before="1" w:line="218" w:lineRule="auto"/>
        <w:rPr>
          <w:sz w:val="24"/>
          <w:szCs w:val="24"/>
        </w:rPr>
      </w:pPr>
      <w:r>
        <w:rPr>
          <w:sz w:val="24"/>
          <w:szCs w:val="24"/>
          <w:spacing w:val="-3"/>
        </w:rPr>
        <w:t>稳定性、夹矸情况、顶底板岩性、层间距等，附矿井综合柱状图、煤层特征表。</w:t>
      </w:r>
    </w:p>
    <w:p>
      <w:pPr>
        <w:pStyle w:val="BodyText"/>
        <w:ind w:left="488"/>
        <w:spacing w:before="184" w:line="219" w:lineRule="auto"/>
        <w:outlineLvl w:val="0"/>
        <w:rPr>
          <w:sz w:val="24"/>
          <w:szCs w:val="24"/>
        </w:rPr>
      </w:pPr>
      <w:r>
        <w:rPr>
          <w:sz w:val="24"/>
          <w:szCs w:val="24"/>
          <w:b/>
          <w:bCs/>
          <w:spacing w:val="-13"/>
        </w:rPr>
        <w:t>二、煤质特征</w:t>
      </w:r>
    </w:p>
    <w:p>
      <w:pPr>
        <w:pStyle w:val="BodyText"/>
        <w:ind w:left="485"/>
        <w:spacing w:before="187" w:line="219" w:lineRule="auto"/>
        <w:rPr>
          <w:sz w:val="24"/>
          <w:szCs w:val="24"/>
        </w:rPr>
      </w:pPr>
      <w:r>
        <w:rPr>
          <w:sz w:val="24"/>
          <w:szCs w:val="24"/>
          <w:spacing w:val="-8"/>
        </w:rPr>
        <w:t>附煤质特征表。</w:t>
      </w:r>
    </w:p>
    <w:p>
      <w:pPr>
        <w:pStyle w:val="BodyText"/>
        <w:ind w:left="3699"/>
        <w:spacing w:before="133" w:line="521" w:lineRule="exact"/>
        <w:rPr>
          <w:sz w:val="29"/>
          <w:szCs w:val="29"/>
        </w:rPr>
      </w:pPr>
      <w:r>
        <w:rPr>
          <w:sz w:val="29"/>
          <w:szCs w:val="29"/>
          <w:b/>
          <w:bCs/>
          <w:spacing w:val="4"/>
          <w:position w:val="17"/>
        </w:rPr>
        <w:t>第四节</w:t>
      </w:r>
      <w:r>
        <w:rPr>
          <w:sz w:val="29"/>
          <w:szCs w:val="29"/>
          <w:spacing w:val="4"/>
          <w:position w:val="17"/>
        </w:rPr>
        <w:t xml:space="preserve">  </w:t>
      </w:r>
      <w:r>
        <w:rPr>
          <w:sz w:val="29"/>
          <w:szCs w:val="29"/>
          <w:b/>
          <w:bCs/>
          <w:spacing w:val="4"/>
          <w:position w:val="17"/>
        </w:rPr>
        <w:t>矿井开拓开采</w:t>
      </w:r>
    </w:p>
    <w:p>
      <w:pPr>
        <w:ind w:left="488"/>
        <w:spacing w:before="1" w:line="235" w:lineRule="auto"/>
        <w:rPr>
          <w:rFonts w:ascii="STXingkai" w:hAnsi="STXingkai" w:eastAsia="STXingkai" w:cs="STXingkai"/>
          <w:sz w:val="24"/>
          <w:szCs w:val="24"/>
        </w:rPr>
      </w:pPr>
      <w:r>
        <w:rPr>
          <w:rFonts w:ascii="STXingkai" w:hAnsi="STXingkai" w:eastAsia="STXingkai" w:cs="STXingkai"/>
          <w:sz w:val="24"/>
          <w:szCs w:val="24"/>
          <w:b/>
          <w:bCs/>
          <w:spacing w:val="-4"/>
        </w:rPr>
        <w:t>一</w:t>
      </w:r>
      <w:r>
        <w:rPr>
          <w:rFonts w:ascii="STXingkai" w:hAnsi="STXingkai" w:eastAsia="STXingkai" w:cs="STXingkai"/>
          <w:sz w:val="24"/>
          <w:szCs w:val="24"/>
          <w:spacing w:val="-30"/>
        </w:rPr>
        <w:t xml:space="preserve"> </w:t>
      </w:r>
      <w:r>
        <w:rPr>
          <w:rFonts w:ascii="STXingkai" w:hAnsi="STXingkai" w:eastAsia="STXingkai" w:cs="STXingkai"/>
          <w:sz w:val="24"/>
          <w:szCs w:val="24"/>
          <w:b/>
          <w:bCs/>
          <w:spacing w:val="-4"/>
        </w:rPr>
        <w:t>、矿井资源储量、生产能力及开采技术条件</w:t>
      </w:r>
    </w:p>
    <w:p>
      <w:pPr>
        <w:pStyle w:val="BodyText"/>
        <w:ind w:left="485"/>
        <w:spacing w:before="121" w:line="220" w:lineRule="auto"/>
        <w:rPr>
          <w:sz w:val="24"/>
          <w:szCs w:val="24"/>
        </w:rPr>
      </w:pPr>
      <w:r>
        <w:rPr>
          <w:sz w:val="24"/>
          <w:szCs w:val="24"/>
          <w:spacing w:val="-10"/>
        </w:rPr>
        <w:t>1.资源/储量</w:t>
      </w:r>
    </w:p>
    <w:p>
      <w:pPr>
        <w:pStyle w:val="BodyText"/>
        <w:ind w:left="485"/>
        <w:spacing w:before="163" w:line="460" w:lineRule="exact"/>
        <w:rPr>
          <w:sz w:val="24"/>
          <w:szCs w:val="24"/>
        </w:rPr>
      </w:pPr>
      <w:r>
        <w:rPr>
          <w:sz w:val="24"/>
          <w:szCs w:val="24"/>
          <w:spacing w:val="-6"/>
          <w:position w:val="16"/>
        </w:rPr>
        <w:t>2.设计生产能力</w:t>
      </w:r>
    </w:p>
    <w:p>
      <w:pPr>
        <w:pStyle w:val="BodyText"/>
        <w:ind w:left="485"/>
        <w:spacing w:before="1" w:line="219" w:lineRule="auto"/>
        <w:rPr>
          <w:sz w:val="24"/>
          <w:szCs w:val="24"/>
        </w:rPr>
      </w:pPr>
      <w:r>
        <w:rPr>
          <w:sz w:val="24"/>
          <w:szCs w:val="24"/>
          <w:spacing w:val="-7"/>
        </w:rPr>
        <w:t>3.矿井服务年限</w:t>
      </w:r>
    </w:p>
    <w:p>
      <w:pPr>
        <w:pStyle w:val="BodyText"/>
        <w:ind w:left="485"/>
        <w:spacing w:before="185" w:line="448" w:lineRule="exact"/>
        <w:rPr>
          <w:sz w:val="24"/>
          <w:szCs w:val="24"/>
        </w:rPr>
      </w:pPr>
      <w:r>
        <w:rPr>
          <w:sz w:val="24"/>
          <w:szCs w:val="24"/>
          <w:spacing w:val="-4"/>
          <w:position w:val="15"/>
        </w:rPr>
        <w:t>4.自燃倾向性鉴定情况</w:t>
      </w:r>
    </w:p>
    <w:p>
      <w:pPr>
        <w:pStyle w:val="BodyText"/>
        <w:ind w:left="485"/>
        <w:spacing w:before="1" w:line="217" w:lineRule="auto"/>
        <w:rPr>
          <w:sz w:val="24"/>
          <w:szCs w:val="24"/>
        </w:rPr>
      </w:pPr>
      <w:r>
        <w:rPr>
          <w:sz w:val="24"/>
          <w:szCs w:val="24"/>
          <w:spacing w:val="-1"/>
        </w:rPr>
        <w:t>5.</w:t>
      </w:r>
      <w:r>
        <w:rPr>
          <w:sz w:val="24"/>
          <w:szCs w:val="24"/>
          <w:spacing w:val="-20"/>
        </w:rPr>
        <w:t xml:space="preserve"> </w:t>
      </w:r>
      <w:r>
        <w:rPr>
          <w:sz w:val="24"/>
          <w:szCs w:val="24"/>
          <w:spacing w:val="-1"/>
        </w:rPr>
        <w:t>煤尘爆炸性鉴定情况</w:t>
      </w:r>
    </w:p>
    <w:p>
      <w:pPr>
        <w:pStyle w:val="BodyText"/>
        <w:ind w:left="488"/>
        <w:spacing w:before="186" w:line="219" w:lineRule="auto"/>
        <w:outlineLvl w:val="0"/>
        <w:rPr>
          <w:sz w:val="24"/>
          <w:szCs w:val="24"/>
        </w:rPr>
      </w:pPr>
      <w:r>
        <w:rPr>
          <w:sz w:val="24"/>
          <w:szCs w:val="24"/>
          <w:b/>
          <w:bCs/>
          <w:spacing w:val="-10"/>
        </w:rPr>
        <w:t>6.受水害威胁情况</w:t>
      </w:r>
    </w:p>
    <w:p>
      <w:pPr>
        <w:pStyle w:val="BodyText"/>
        <w:ind w:left="487"/>
        <w:spacing w:before="177" w:line="213" w:lineRule="auto"/>
        <w:outlineLvl w:val="0"/>
        <w:rPr>
          <w:sz w:val="25"/>
          <w:szCs w:val="25"/>
        </w:rPr>
      </w:pPr>
      <w:r>
        <w:rPr>
          <w:sz w:val="25"/>
          <w:szCs w:val="25"/>
          <w:b/>
          <w:bCs/>
          <w:i/>
          <w:iCs/>
          <w:spacing w:val="-23"/>
        </w:rPr>
        <w:t>二、开拓方式</w:t>
      </w:r>
    </w:p>
    <w:p>
      <w:pPr>
        <w:pStyle w:val="BodyText"/>
        <w:ind w:left="628"/>
        <w:spacing w:before="158" w:line="219" w:lineRule="auto"/>
        <w:rPr>
          <w:sz w:val="24"/>
          <w:szCs w:val="24"/>
        </w:rPr>
      </w:pPr>
      <w:r>
        <w:rPr>
          <w:sz w:val="24"/>
          <w:szCs w:val="24"/>
          <w:b/>
          <w:bCs/>
          <w:spacing w:val="-4"/>
        </w:rPr>
        <w:t>(附开拓系统图、井筒剖面图，采掘工程平面图)</w:t>
      </w:r>
    </w:p>
    <w:p>
      <w:pPr>
        <w:ind w:left="488"/>
        <w:spacing w:before="171" w:line="475" w:lineRule="exact"/>
        <w:rPr>
          <w:rFonts w:ascii="KaiTi" w:hAnsi="KaiTi" w:eastAsia="KaiTi" w:cs="KaiTi"/>
          <w:sz w:val="24"/>
          <w:szCs w:val="24"/>
        </w:rPr>
      </w:pPr>
      <w:r>
        <w:rPr>
          <w:rFonts w:ascii="KaiTi" w:hAnsi="KaiTi" w:eastAsia="KaiTi" w:cs="KaiTi"/>
          <w:sz w:val="24"/>
          <w:szCs w:val="24"/>
          <w:b/>
          <w:bCs/>
          <w:spacing w:val="-9"/>
          <w:position w:val="17"/>
        </w:rPr>
        <w:t>三、矿井采掘部暑</w:t>
      </w:r>
    </w:p>
    <w:p>
      <w:pPr>
        <w:pStyle w:val="BodyText"/>
        <w:ind w:left="488"/>
        <w:spacing w:line="218" w:lineRule="auto"/>
        <w:rPr>
          <w:sz w:val="24"/>
          <w:szCs w:val="24"/>
        </w:rPr>
      </w:pPr>
      <w:r>
        <w:rPr>
          <w:sz w:val="24"/>
          <w:szCs w:val="24"/>
          <w:b/>
          <w:bCs/>
          <w:spacing w:val="-5"/>
        </w:rPr>
        <w:t>1.水平及采区划分</w:t>
      </w:r>
    </w:p>
    <w:p>
      <w:pPr>
        <w:pStyle w:val="BodyText"/>
        <w:ind w:left="488"/>
        <w:spacing w:before="166" w:line="219" w:lineRule="auto"/>
        <w:rPr>
          <w:sz w:val="24"/>
          <w:szCs w:val="24"/>
        </w:rPr>
      </w:pPr>
      <w:r>
        <w:rPr>
          <w:sz w:val="24"/>
          <w:szCs w:val="24"/>
          <w:b/>
          <w:bCs/>
          <w:spacing w:val="-9"/>
        </w:rPr>
        <w:t>2.煤层开采顺序</w:t>
      </w:r>
    </w:p>
    <w:p>
      <w:pPr>
        <w:pStyle w:val="BodyText"/>
        <w:ind w:left="488"/>
        <w:spacing w:before="185" w:line="219" w:lineRule="auto"/>
        <w:rPr>
          <w:sz w:val="24"/>
          <w:szCs w:val="24"/>
        </w:rPr>
      </w:pPr>
      <w:r>
        <w:rPr>
          <w:sz w:val="24"/>
          <w:szCs w:val="24"/>
          <w:b/>
          <w:bCs/>
          <w:spacing w:val="-9"/>
        </w:rPr>
        <w:t>3.采区巷道布置</w:t>
      </w:r>
    </w:p>
    <w:p>
      <w:pPr>
        <w:spacing w:line="219" w:lineRule="auto"/>
        <w:sectPr>
          <w:headerReference w:type="default" r:id="rId10"/>
          <w:footerReference w:type="default" r:id="rId11"/>
          <w:pgSz w:w="11900" w:h="16940"/>
          <w:pgMar w:top="937" w:right="1040" w:bottom="872" w:left="1064" w:header="747" w:footer="713" w:gutter="0"/>
        </w:sectPr>
        <w:rPr>
          <w:sz w:val="24"/>
          <w:szCs w:val="24"/>
        </w:rPr>
      </w:pPr>
    </w:p>
    <w:p>
      <w:pPr>
        <w:spacing w:line="280" w:lineRule="auto"/>
        <w:rPr>
          <w:rFonts w:ascii="Arial"/>
          <w:sz w:val="21"/>
        </w:rPr>
      </w:pPr>
      <w:r/>
    </w:p>
    <w:p>
      <w:pPr>
        <w:spacing w:line="280" w:lineRule="auto"/>
        <w:rPr>
          <w:rFonts w:ascii="Arial"/>
          <w:sz w:val="21"/>
        </w:rPr>
      </w:pPr>
      <w:r/>
    </w:p>
    <w:p>
      <w:pPr>
        <w:pStyle w:val="BodyText"/>
        <w:ind w:left="465"/>
        <w:spacing w:before="78" w:line="461" w:lineRule="exact"/>
        <w:rPr>
          <w:sz w:val="24"/>
          <w:szCs w:val="24"/>
        </w:rPr>
      </w:pPr>
      <w:r>
        <w:rPr>
          <w:sz w:val="24"/>
          <w:szCs w:val="24"/>
          <w:spacing w:val="-4"/>
          <w:position w:val="16"/>
        </w:rPr>
        <w:t>4.采煤方法与顶板管理</w:t>
      </w:r>
    </w:p>
    <w:p>
      <w:pPr>
        <w:pStyle w:val="BodyText"/>
        <w:ind w:left="465"/>
        <w:spacing w:line="220" w:lineRule="auto"/>
        <w:rPr>
          <w:sz w:val="24"/>
          <w:szCs w:val="24"/>
        </w:rPr>
      </w:pPr>
      <w:r>
        <w:rPr>
          <w:sz w:val="24"/>
          <w:szCs w:val="24"/>
          <w:spacing w:val="-6"/>
        </w:rPr>
        <w:t>5.巷道支护方式</w:t>
      </w:r>
    </w:p>
    <w:p>
      <w:pPr>
        <w:pStyle w:val="BodyText"/>
        <w:ind w:left="465"/>
        <w:spacing w:before="171" w:line="219" w:lineRule="auto"/>
        <w:rPr>
          <w:sz w:val="24"/>
          <w:szCs w:val="24"/>
        </w:rPr>
      </w:pPr>
      <w:r>
        <w:rPr>
          <w:sz w:val="24"/>
          <w:szCs w:val="24"/>
          <w:spacing w:val="-6"/>
        </w:rPr>
        <w:t>6.采掘接续安排</w:t>
      </w:r>
    </w:p>
    <w:p>
      <w:pPr>
        <w:ind w:left="3979"/>
        <w:spacing w:before="107" w:line="223" w:lineRule="auto"/>
        <w:rPr>
          <w:rFonts w:ascii="KaiTi" w:hAnsi="KaiTi" w:eastAsia="KaiTi" w:cs="KaiTi"/>
          <w:sz w:val="30"/>
          <w:szCs w:val="30"/>
        </w:rPr>
      </w:pPr>
      <w:bookmarkStart w:name="bookmark20" w:id="11"/>
      <w:bookmarkEnd w:id="11"/>
      <w:r>
        <w:rPr>
          <w:rFonts w:ascii="KaiTi" w:hAnsi="KaiTi" w:eastAsia="KaiTi" w:cs="KaiTi"/>
          <w:sz w:val="30"/>
          <w:szCs w:val="30"/>
          <w:b/>
          <w:bCs/>
          <w:spacing w:val="-6"/>
        </w:rPr>
        <w:t>第五节</w:t>
      </w:r>
      <w:r>
        <w:rPr>
          <w:rFonts w:ascii="KaiTi" w:hAnsi="KaiTi" w:eastAsia="KaiTi" w:cs="KaiTi"/>
          <w:sz w:val="30"/>
          <w:szCs w:val="30"/>
          <w:spacing w:val="147"/>
        </w:rPr>
        <w:t xml:space="preserve"> </w:t>
      </w:r>
      <w:r>
        <w:rPr>
          <w:rFonts w:ascii="KaiTi" w:hAnsi="KaiTi" w:eastAsia="KaiTi" w:cs="KaiTi"/>
          <w:sz w:val="30"/>
          <w:szCs w:val="30"/>
          <w:b/>
          <w:bCs/>
          <w:spacing w:val="-6"/>
        </w:rPr>
        <w:t>安全系统</w:t>
      </w:r>
    </w:p>
    <w:p>
      <w:pPr>
        <w:ind w:left="468"/>
        <w:spacing w:before="177" w:line="223" w:lineRule="auto"/>
        <w:outlineLvl w:val="0"/>
        <w:rPr>
          <w:rFonts w:ascii="KaiTi" w:hAnsi="KaiTi" w:eastAsia="KaiTi" w:cs="KaiTi"/>
          <w:sz w:val="24"/>
          <w:szCs w:val="24"/>
        </w:rPr>
      </w:pPr>
      <w:r>
        <w:rPr>
          <w:rFonts w:ascii="KaiTi" w:hAnsi="KaiTi" w:eastAsia="KaiTi" w:cs="KaiTi"/>
          <w:sz w:val="24"/>
          <w:szCs w:val="24"/>
          <w:b/>
          <w:bCs/>
          <w:spacing w:val="-6"/>
        </w:rPr>
        <w:t>一、通风系统</w:t>
      </w:r>
    </w:p>
    <w:p>
      <w:pPr>
        <w:spacing w:before="146" w:line="483" w:lineRule="exact"/>
        <w:jc w:val="right"/>
        <w:rPr>
          <w:rFonts w:ascii="KaiTi" w:hAnsi="KaiTi" w:eastAsia="KaiTi" w:cs="KaiTi"/>
          <w:sz w:val="24"/>
          <w:szCs w:val="24"/>
        </w:rPr>
      </w:pPr>
      <w:r>
        <w:rPr>
          <w:rFonts w:ascii="KaiTi" w:hAnsi="KaiTi" w:eastAsia="KaiTi" w:cs="KaiTi"/>
          <w:sz w:val="24"/>
          <w:szCs w:val="24"/>
          <w:spacing w:val="5"/>
          <w:position w:val="18"/>
        </w:rPr>
        <w:t>矿井通风方式、通风方法、主通风机主要运行参数</w:t>
      </w:r>
      <w:r>
        <w:rPr>
          <w:rFonts w:ascii="KaiTi" w:hAnsi="KaiTi" w:eastAsia="KaiTi" w:cs="KaiTi"/>
          <w:sz w:val="24"/>
          <w:szCs w:val="24"/>
          <w:spacing w:val="4"/>
          <w:position w:val="18"/>
        </w:rPr>
        <w:t>(型号、电机功率、叶片运行角度)、</w:t>
      </w:r>
    </w:p>
    <w:p>
      <w:pPr>
        <w:pStyle w:val="BodyText"/>
        <w:ind w:left="5"/>
        <w:spacing w:line="218" w:lineRule="auto"/>
        <w:rPr>
          <w:sz w:val="24"/>
          <w:szCs w:val="24"/>
        </w:rPr>
      </w:pPr>
      <w:r>
        <w:rPr>
          <w:sz w:val="24"/>
          <w:szCs w:val="24"/>
          <w:spacing w:val="4"/>
        </w:rPr>
        <w:t>主通风机双回路供电情况、矿井(采区)总进风、回风量，有效风量率等。</w:t>
      </w:r>
    </w:p>
    <w:p>
      <w:pPr>
        <w:ind w:left="468"/>
        <w:spacing w:before="172" w:line="222" w:lineRule="auto"/>
        <w:outlineLvl w:val="0"/>
        <w:rPr>
          <w:rFonts w:ascii="FangSong" w:hAnsi="FangSong" w:eastAsia="FangSong" w:cs="FangSong"/>
          <w:sz w:val="24"/>
          <w:szCs w:val="24"/>
        </w:rPr>
      </w:pPr>
      <w:r>
        <w:rPr>
          <w:rFonts w:ascii="FangSong" w:hAnsi="FangSong" w:eastAsia="FangSong" w:cs="FangSong"/>
          <w:sz w:val="24"/>
          <w:szCs w:val="24"/>
          <w:b/>
          <w:bCs/>
          <w:spacing w:val="-9"/>
        </w:rPr>
        <w:t>二、抽采系统</w:t>
      </w:r>
    </w:p>
    <w:p>
      <w:pPr>
        <w:ind w:right="51"/>
        <w:spacing w:before="163" w:line="473" w:lineRule="exact"/>
        <w:jc w:val="right"/>
        <w:rPr>
          <w:rFonts w:ascii="FangSong" w:hAnsi="FangSong" w:eastAsia="FangSong" w:cs="FangSong"/>
          <w:sz w:val="24"/>
          <w:szCs w:val="24"/>
        </w:rPr>
      </w:pPr>
      <w:r>
        <w:rPr>
          <w:rFonts w:ascii="FangSong" w:hAnsi="FangSong" w:eastAsia="FangSong" w:cs="FangSong"/>
          <w:sz w:val="24"/>
          <w:szCs w:val="24"/>
          <w:spacing w:val="3"/>
          <w:position w:val="17"/>
        </w:rPr>
        <w:t>抽采泵主要运行参数(型号、电机功率、目前主要抽采参数)、矿井主要抽采管路特征参</w:t>
      </w:r>
    </w:p>
    <w:p>
      <w:pPr>
        <w:pStyle w:val="BodyText"/>
        <w:ind w:left="5"/>
        <w:spacing w:line="218" w:lineRule="auto"/>
        <w:rPr>
          <w:sz w:val="24"/>
          <w:szCs w:val="24"/>
        </w:rPr>
      </w:pPr>
      <w:r>
        <w:rPr>
          <w:sz w:val="24"/>
          <w:szCs w:val="24"/>
          <w:spacing w:val="-8"/>
        </w:rPr>
        <w:t>数、布置情况等。</w:t>
      </w:r>
    </w:p>
    <w:p>
      <w:pPr>
        <w:ind w:left="468"/>
        <w:spacing w:before="178" w:line="223" w:lineRule="auto"/>
        <w:outlineLvl w:val="0"/>
        <w:rPr>
          <w:rFonts w:ascii="KaiTi" w:hAnsi="KaiTi" w:eastAsia="KaiTi" w:cs="KaiTi"/>
          <w:sz w:val="24"/>
          <w:szCs w:val="24"/>
        </w:rPr>
      </w:pPr>
      <w:r>
        <w:rPr>
          <w:rFonts w:ascii="KaiTi" w:hAnsi="KaiTi" w:eastAsia="KaiTi" w:cs="KaiTi"/>
          <w:sz w:val="24"/>
          <w:szCs w:val="24"/>
          <w:b/>
          <w:bCs/>
          <w:spacing w:val="-13"/>
        </w:rPr>
        <w:t>三、监控系统</w:t>
      </w:r>
    </w:p>
    <w:p>
      <w:pPr>
        <w:ind w:left="465"/>
        <w:spacing w:before="163" w:line="465" w:lineRule="exact"/>
        <w:rPr>
          <w:rFonts w:ascii="KaiTi" w:hAnsi="KaiTi" w:eastAsia="KaiTi" w:cs="KaiTi"/>
          <w:sz w:val="24"/>
          <w:szCs w:val="24"/>
        </w:rPr>
      </w:pPr>
      <w:r>
        <w:rPr>
          <w:rFonts w:ascii="KaiTi" w:hAnsi="KaiTi" w:eastAsia="KaiTi" w:cs="KaiTi"/>
          <w:sz w:val="24"/>
          <w:szCs w:val="24"/>
          <w:spacing w:val="-4"/>
          <w:position w:val="16"/>
        </w:rPr>
        <w:t>监控系统规格型号、性能参数、生产厂家、</w:t>
      </w:r>
      <w:r>
        <w:rPr>
          <w:rFonts w:ascii="KaiTi" w:hAnsi="KaiTi" w:eastAsia="KaiTi" w:cs="KaiTi"/>
          <w:sz w:val="24"/>
          <w:szCs w:val="24"/>
          <w:spacing w:val="-5"/>
          <w:position w:val="16"/>
        </w:rPr>
        <w:t>运行、维护及调校现状和智能化升级改造进度</w:t>
      </w:r>
    </w:p>
    <w:p>
      <w:pPr>
        <w:ind w:left="5"/>
        <w:spacing w:before="1" w:line="226" w:lineRule="auto"/>
        <w:rPr>
          <w:rFonts w:ascii="KaiTi" w:hAnsi="KaiTi" w:eastAsia="KaiTi" w:cs="KaiTi"/>
          <w:sz w:val="24"/>
          <w:szCs w:val="24"/>
        </w:rPr>
      </w:pPr>
      <w:r>
        <w:rPr>
          <w:rFonts w:ascii="KaiTi" w:hAnsi="KaiTi" w:eastAsia="KaiTi" w:cs="KaiTi"/>
          <w:sz w:val="24"/>
          <w:szCs w:val="24"/>
          <w:spacing w:val="-12"/>
        </w:rPr>
        <w:t>情况。</w:t>
      </w:r>
    </w:p>
    <w:p>
      <w:pPr>
        <w:spacing w:line="226" w:lineRule="auto"/>
        <w:sectPr>
          <w:headerReference w:type="default" r:id="rId12"/>
          <w:footerReference w:type="default" r:id="rId13"/>
          <w:pgSz w:w="11900" w:h="16940"/>
          <w:pgMar w:top="937" w:right="1060" w:bottom="872" w:left="1074" w:header="747" w:footer="713" w:gutter="0"/>
        </w:sectPr>
        <w:rPr>
          <w:rFonts w:ascii="KaiTi" w:hAnsi="KaiTi" w:eastAsia="KaiTi" w:cs="KaiTi"/>
          <w:sz w:val="24"/>
          <w:szCs w:val="24"/>
        </w:rPr>
      </w:pPr>
    </w:p>
    <w:p>
      <w:pPr>
        <w:spacing w:line="423" w:lineRule="auto"/>
        <w:rPr>
          <w:rFonts w:ascii="Arial"/>
          <w:sz w:val="21"/>
        </w:rPr>
      </w:pPr>
      <w:r/>
    </w:p>
    <w:p>
      <w:pPr>
        <w:pStyle w:val="BodyText"/>
        <w:ind w:left="2217"/>
        <w:spacing w:before="117" w:line="519" w:lineRule="exact"/>
        <w:rPr>
          <w:sz w:val="36"/>
          <w:szCs w:val="36"/>
        </w:rPr>
      </w:pPr>
      <w:bookmarkStart w:name="bookmark21" w:id="12"/>
      <w:bookmarkEnd w:id="12"/>
      <w:bookmarkStart w:name="bookmark22" w:id="13"/>
      <w:bookmarkEnd w:id="13"/>
      <w:bookmarkStart w:name="bookmark23" w:id="14"/>
      <w:bookmarkEnd w:id="14"/>
      <w:bookmarkStart w:name="bookmark24" w:id="15"/>
      <w:bookmarkEnd w:id="15"/>
      <w:r>
        <w:rPr>
          <w:sz w:val="36"/>
          <w:szCs w:val="36"/>
          <w:b/>
          <w:bCs/>
          <w:spacing w:val="-8"/>
          <w:position w:val="11"/>
        </w:rPr>
        <w:t>第二章</w:t>
      </w:r>
      <w:r>
        <w:rPr>
          <w:sz w:val="36"/>
          <w:szCs w:val="36"/>
          <w:spacing w:val="183"/>
          <w:position w:val="11"/>
        </w:rPr>
        <w:t xml:space="preserve"> </w:t>
      </w:r>
      <w:r>
        <w:rPr>
          <w:sz w:val="36"/>
          <w:szCs w:val="36"/>
          <w:b/>
          <w:bCs/>
          <w:spacing w:val="-8"/>
          <w:position w:val="11"/>
        </w:rPr>
        <w:t>煤与瓦斯突出危险性分析</w:t>
      </w:r>
    </w:p>
    <w:p>
      <w:pPr>
        <w:pStyle w:val="BodyText"/>
        <w:ind w:left="3396"/>
        <w:spacing w:line="218" w:lineRule="auto"/>
        <w:rPr>
          <w:sz w:val="29"/>
          <w:szCs w:val="29"/>
        </w:rPr>
      </w:pPr>
      <w:r>
        <w:rPr>
          <w:sz w:val="29"/>
          <w:szCs w:val="29"/>
          <w:b/>
          <w:bCs/>
          <w:spacing w:val="4"/>
        </w:rPr>
        <w:t>第一节</w:t>
      </w:r>
      <w:r>
        <w:rPr>
          <w:sz w:val="29"/>
          <w:szCs w:val="29"/>
          <w:spacing w:val="4"/>
        </w:rPr>
        <w:t xml:space="preserve">  </w:t>
      </w:r>
      <w:r>
        <w:rPr>
          <w:sz w:val="29"/>
          <w:szCs w:val="29"/>
          <w:b/>
          <w:bCs/>
          <w:spacing w:val="4"/>
        </w:rPr>
        <w:t>煤层瓦斯基本参数</w:t>
      </w:r>
    </w:p>
    <w:p>
      <w:pPr>
        <w:pStyle w:val="BodyText"/>
        <w:ind w:left="485"/>
        <w:spacing w:before="146" w:line="481" w:lineRule="exact"/>
        <w:rPr>
          <w:sz w:val="24"/>
          <w:szCs w:val="24"/>
        </w:rPr>
      </w:pPr>
      <w:r>
        <w:rPr>
          <w:sz w:val="24"/>
          <w:szCs w:val="24"/>
          <w:b/>
          <w:bCs/>
          <w:spacing w:val="-5"/>
          <w:position w:val="18"/>
        </w:rPr>
        <w:t>一、瓦斯赋存概况及变化规律</w:t>
      </w:r>
    </w:p>
    <w:p>
      <w:pPr>
        <w:pStyle w:val="BodyText"/>
        <w:ind w:left="485"/>
        <w:spacing w:line="220" w:lineRule="auto"/>
        <w:rPr>
          <w:sz w:val="24"/>
          <w:szCs w:val="24"/>
        </w:rPr>
      </w:pPr>
      <w:r>
        <w:rPr>
          <w:sz w:val="24"/>
          <w:szCs w:val="24"/>
          <w:b/>
          <w:bCs/>
          <w:spacing w:val="-13"/>
        </w:rPr>
        <w:t>二、瓦斯成分</w:t>
      </w:r>
    </w:p>
    <w:p>
      <w:pPr>
        <w:pStyle w:val="BodyText"/>
        <w:ind w:left="485"/>
        <w:spacing w:before="163" w:line="219" w:lineRule="auto"/>
        <w:outlineLvl w:val="0"/>
        <w:rPr>
          <w:sz w:val="24"/>
          <w:szCs w:val="24"/>
        </w:rPr>
      </w:pPr>
      <w:r>
        <w:rPr>
          <w:sz w:val="24"/>
          <w:szCs w:val="24"/>
          <w:b/>
          <w:bCs/>
          <w:spacing w:val="-7"/>
        </w:rPr>
        <w:t>三、瓦斯含量梯度</w:t>
      </w:r>
    </w:p>
    <w:p>
      <w:pPr>
        <w:ind w:left="485"/>
        <w:spacing w:before="170" w:line="220" w:lineRule="auto"/>
        <w:outlineLvl w:val="0"/>
        <w:rPr>
          <w:rFonts w:ascii="FangSong" w:hAnsi="FangSong" w:eastAsia="FangSong" w:cs="FangSong"/>
          <w:sz w:val="24"/>
          <w:szCs w:val="24"/>
        </w:rPr>
      </w:pPr>
      <w:r>
        <w:rPr>
          <w:rFonts w:ascii="FangSong" w:hAnsi="FangSong" w:eastAsia="FangSong" w:cs="FangSong"/>
          <w:sz w:val="24"/>
          <w:szCs w:val="24"/>
          <w:b/>
          <w:bCs/>
          <w:spacing w:val="-5"/>
        </w:rPr>
        <w:t>四、煤与瓦斯突出危险性鉴定及参数测定</w:t>
      </w:r>
    </w:p>
    <w:p>
      <w:pPr>
        <w:pStyle w:val="BodyText"/>
        <w:ind w:left="2" w:right="49" w:firstLine="479"/>
        <w:spacing w:before="181" w:line="354" w:lineRule="auto"/>
        <w:jc w:val="both"/>
        <w:rPr>
          <w:sz w:val="24"/>
          <w:szCs w:val="24"/>
        </w:rPr>
      </w:pPr>
      <w:r>
        <w:rPr>
          <w:sz w:val="24"/>
          <w:szCs w:val="24"/>
          <w:spacing w:val="-4"/>
        </w:rPr>
        <w:t>1.开采煤层及其他可能对采掘活动造成威胁的煤层的突</w:t>
      </w:r>
      <w:r>
        <w:rPr>
          <w:sz w:val="24"/>
          <w:szCs w:val="24"/>
          <w:spacing w:val="-5"/>
        </w:rPr>
        <w:t>出危险性鉴定和参数测定情况：突</w:t>
      </w:r>
      <w:r>
        <w:rPr>
          <w:sz w:val="24"/>
          <w:szCs w:val="24"/>
        </w:rPr>
        <w:t xml:space="preserve"> </w:t>
      </w:r>
      <w:r>
        <w:rPr>
          <w:sz w:val="24"/>
          <w:szCs w:val="24"/>
          <w:spacing w:val="-4"/>
        </w:rPr>
        <w:t>出危险鉴定和瓦斯参数测定单位、时间、鉴定结论和瓦斯基本参数测试结果、鉴定范围和瓦斯</w:t>
      </w:r>
    </w:p>
    <w:p>
      <w:pPr>
        <w:pStyle w:val="BodyText"/>
        <w:ind w:left="2"/>
        <w:spacing w:line="218" w:lineRule="auto"/>
        <w:rPr>
          <w:sz w:val="24"/>
          <w:szCs w:val="24"/>
        </w:rPr>
      </w:pPr>
      <w:r>
        <w:rPr>
          <w:sz w:val="24"/>
          <w:szCs w:val="24"/>
          <w:spacing w:val="-3"/>
        </w:rPr>
        <w:t>参数测定范围、鉴定和测定测点布置情况。</w:t>
      </w:r>
    </w:p>
    <w:p>
      <w:pPr>
        <w:pStyle w:val="BodyText"/>
        <w:ind w:left="2" w:right="14" w:firstLine="479"/>
        <w:spacing w:before="176" w:line="354" w:lineRule="auto"/>
        <w:jc w:val="both"/>
        <w:rPr>
          <w:sz w:val="24"/>
          <w:szCs w:val="24"/>
        </w:rPr>
      </w:pPr>
      <w:r>
        <w:rPr>
          <w:sz w:val="24"/>
          <w:szCs w:val="24"/>
          <w:spacing w:val="-3"/>
        </w:rPr>
        <w:t>2.突出危险性鉴定和瓦斯参数测定过程：鉴定或测定机构的资质和能力情况</w:t>
      </w:r>
      <w:r>
        <w:rPr>
          <w:sz w:val="24"/>
          <w:szCs w:val="24"/>
          <w:spacing w:val="-4"/>
        </w:rPr>
        <w:t>；鉴定或测定</w:t>
      </w:r>
      <w:r>
        <w:rPr>
          <w:sz w:val="24"/>
          <w:szCs w:val="24"/>
        </w:rPr>
        <w:t xml:space="preserve"> </w:t>
      </w:r>
      <w:r>
        <w:rPr>
          <w:sz w:val="24"/>
          <w:szCs w:val="24"/>
          <w:spacing w:val="-4"/>
        </w:rPr>
        <w:t>时的条件情况；样品实行“双签字”和煤矿见证情况；鉴定机构是否科学标定突出危险区域范</w:t>
      </w:r>
    </w:p>
    <w:p>
      <w:pPr>
        <w:pStyle w:val="BodyText"/>
        <w:ind w:left="2"/>
        <w:spacing w:before="1" w:line="219" w:lineRule="auto"/>
        <w:rPr>
          <w:sz w:val="24"/>
          <w:szCs w:val="24"/>
        </w:rPr>
      </w:pPr>
      <w:r>
        <w:rPr>
          <w:sz w:val="24"/>
          <w:szCs w:val="24"/>
          <w:spacing w:val="-3"/>
        </w:rPr>
        <w:t>围并划定警戒线情况；鉴定和测定结果报备情况。</w:t>
      </w:r>
    </w:p>
    <w:p>
      <w:pPr>
        <w:ind w:left="2636"/>
        <w:spacing w:before="139" w:line="224" w:lineRule="auto"/>
        <w:rPr>
          <w:rFonts w:ascii="KaiTi" w:hAnsi="KaiTi" w:eastAsia="KaiTi" w:cs="KaiTi"/>
          <w:sz w:val="29"/>
          <w:szCs w:val="29"/>
        </w:rPr>
      </w:pPr>
      <w:r>
        <w:rPr>
          <w:rFonts w:ascii="KaiTi" w:hAnsi="KaiTi" w:eastAsia="KaiTi" w:cs="KaiTi"/>
          <w:sz w:val="29"/>
          <w:szCs w:val="29"/>
          <w:b/>
          <w:bCs/>
          <w:spacing w:val="5"/>
        </w:rPr>
        <w:t>第二节</w:t>
      </w:r>
      <w:r>
        <w:rPr>
          <w:rFonts w:ascii="KaiTi" w:hAnsi="KaiTi" w:eastAsia="KaiTi" w:cs="KaiTi"/>
          <w:sz w:val="29"/>
          <w:szCs w:val="29"/>
          <w:spacing w:val="7"/>
        </w:rPr>
        <w:t xml:space="preserve">  </w:t>
      </w:r>
      <w:r>
        <w:rPr>
          <w:rFonts w:ascii="KaiTi" w:hAnsi="KaiTi" w:eastAsia="KaiTi" w:cs="KaiTi"/>
          <w:sz w:val="29"/>
          <w:szCs w:val="29"/>
          <w:b/>
          <w:bCs/>
          <w:spacing w:val="5"/>
        </w:rPr>
        <w:t>邻近矿井煤与瓦斯突出危险性</w:t>
      </w:r>
    </w:p>
    <w:p>
      <w:pPr>
        <w:ind w:left="482"/>
        <w:spacing w:before="5" w:line="220" w:lineRule="auto"/>
        <w:rPr>
          <w:rFonts w:ascii="KaiTi" w:hAnsi="KaiTi" w:eastAsia="KaiTi" w:cs="KaiTi"/>
          <w:sz w:val="24"/>
          <w:szCs w:val="24"/>
        </w:rPr>
      </w:pPr>
      <w:r>
        <w:rPr>
          <w:rFonts w:ascii="KaiTi" w:hAnsi="KaiTi" w:eastAsia="KaiTi" w:cs="KaiTi"/>
          <w:sz w:val="24"/>
          <w:szCs w:val="24"/>
          <w:spacing w:val="-2"/>
        </w:rPr>
        <w:t>简要介绍邻近矿井煤与瓦斯突出危险性参数测定情况，是否发生煤与瓦斯突出。</w:t>
      </w:r>
    </w:p>
    <w:p>
      <w:pPr>
        <w:pStyle w:val="BodyText"/>
        <w:ind w:left="2496"/>
        <w:spacing w:before="129" w:line="218" w:lineRule="auto"/>
        <w:rPr>
          <w:sz w:val="29"/>
          <w:szCs w:val="29"/>
        </w:rPr>
      </w:pPr>
      <w:r>
        <w:rPr>
          <w:sz w:val="29"/>
          <w:szCs w:val="29"/>
          <w:b/>
          <w:bCs/>
          <w:spacing w:val="5"/>
        </w:rPr>
        <w:t>第三节</w:t>
      </w:r>
      <w:r>
        <w:rPr>
          <w:sz w:val="29"/>
          <w:szCs w:val="29"/>
          <w:spacing w:val="5"/>
        </w:rPr>
        <w:t xml:space="preserve">  </w:t>
      </w:r>
      <w:r>
        <w:rPr>
          <w:sz w:val="29"/>
          <w:szCs w:val="29"/>
          <w:b/>
          <w:bCs/>
          <w:spacing w:val="5"/>
        </w:rPr>
        <w:t>本矿井煤与瓦斯突出危险性评价</w:t>
      </w:r>
    </w:p>
    <w:p>
      <w:pPr>
        <w:pStyle w:val="BodyText"/>
        <w:ind w:right="44"/>
        <w:spacing w:before="151" w:line="459" w:lineRule="exact"/>
        <w:jc w:val="right"/>
        <w:rPr>
          <w:sz w:val="24"/>
          <w:szCs w:val="24"/>
        </w:rPr>
      </w:pPr>
      <w:r>
        <w:rPr>
          <w:sz w:val="24"/>
          <w:szCs w:val="24"/>
          <w:spacing w:val="-4"/>
          <w:position w:val="16"/>
        </w:rPr>
        <w:t>结合煤层瓦斯基本参数、邻近矿井煤与瓦斯突出情况、本矿井煤与瓦斯突出危险性鉴定情</w:t>
      </w:r>
    </w:p>
    <w:p>
      <w:pPr>
        <w:pStyle w:val="BodyText"/>
        <w:ind w:left="2"/>
        <w:spacing w:before="1" w:line="217" w:lineRule="auto"/>
        <w:rPr>
          <w:sz w:val="24"/>
          <w:szCs w:val="24"/>
        </w:rPr>
      </w:pPr>
      <w:r>
        <w:rPr>
          <w:sz w:val="24"/>
          <w:szCs w:val="24"/>
          <w:spacing w:val="-2"/>
        </w:rPr>
        <w:t>况，评价本矿井各煤层煤与瓦斯突出危险性情况。</w:t>
      </w:r>
    </w:p>
    <w:p>
      <w:pPr>
        <w:pStyle w:val="BodyText"/>
        <w:ind w:left="1446"/>
        <w:spacing w:before="144" w:line="218" w:lineRule="auto"/>
        <w:rPr>
          <w:sz w:val="29"/>
          <w:szCs w:val="29"/>
        </w:rPr>
      </w:pPr>
      <w:r>
        <w:rPr>
          <w:sz w:val="29"/>
          <w:szCs w:val="29"/>
          <w:b/>
          <w:bCs/>
          <w:spacing w:val="6"/>
        </w:rPr>
        <w:t>第四节</w:t>
      </w:r>
      <w:r>
        <w:rPr>
          <w:sz w:val="29"/>
          <w:szCs w:val="29"/>
          <w:spacing w:val="6"/>
        </w:rPr>
        <w:t xml:space="preserve">  </w:t>
      </w:r>
      <w:r>
        <w:rPr>
          <w:sz w:val="29"/>
          <w:szCs w:val="29"/>
          <w:b/>
          <w:bCs/>
          <w:spacing w:val="6"/>
        </w:rPr>
        <w:t>突出矿井的新水平和新采区区域突出</w:t>
      </w:r>
      <w:r>
        <w:rPr>
          <w:sz w:val="29"/>
          <w:szCs w:val="29"/>
          <w:b/>
          <w:bCs/>
          <w:spacing w:val="5"/>
        </w:rPr>
        <w:t>危险性评估</w:t>
      </w:r>
    </w:p>
    <w:p>
      <w:pPr>
        <w:ind w:left="2" w:right="9" w:firstLine="479"/>
        <w:spacing w:before="149" w:line="353" w:lineRule="auto"/>
        <w:jc w:val="both"/>
        <w:rPr>
          <w:rFonts w:ascii="FangSong" w:hAnsi="FangSong" w:eastAsia="FangSong" w:cs="FangSong"/>
          <w:sz w:val="24"/>
          <w:szCs w:val="24"/>
        </w:rPr>
      </w:pPr>
      <w:r>
        <w:rPr>
          <w:rFonts w:ascii="FangSong" w:hAnsi="FangSong" w:eastAsia="FangSong" w:cs="FangSong"/>
          <w:sz w:val="24"/>
          <w:szCs w:val="24"/>
          <w:spacing w:val="-3"/>
        </w:rPr>
        <w:t>突出矿井的新水平和新采区开拓设计前根据地质勘查资料、上水平及邻近区域</w:t>
      </w:r>
      <w:r>
        <w:rPr>
          <w:rFonts w:ascii="FangSong" w:hAnsi="FangSong" w:eastAsia="FangSong" w:cs="FangSong"/>
          <w:sz w:val="24"/>
          <w:szCs w:val="24"/>
          <w:spacing w:val="-4"/>
        </w:rPr>
        <w:t>的实测和生</w:t>
      </w:r>
      <w:r>
        <w:rPr>
          <w:rFonts w:ascii="FangSong" w:hAnsi="FangSong" w:eastAsia="FangSong" w:cs="FangSong"/>
          <w:sz w:val="24"/>
          <w:szCs w:val="24"/>
        </w:rPr>
        <w:t xml:space="preserve"> </w:t>
      </w:r>
      <w:r>
        <w:rPr>
          <w:rFonts w:ascii="FangSong" w:hAnsi="FangSong" w:eastAsia="FangSong" w:cs="FangSong"/>
          <w:sz w:val="24"/>
          <w:szCs w:val="24"/>
          <w:spacing w:val="-3"/>
        </w:rPr>
        <w:t>产资料等，参照《防治煤与瓦斯突出细则》第五十八条方法，对新水平或者新采区内平均厚度</w:t>
      </w:r>
    </w:p>
    <w:p>
      <w:pPr>
        <w:pStyle w:val="BodyText"/>
        <w:ind w:left="2"/>
        <w:spacing w:line="219" w:lineRule="auto"/>
        <w:rPr>
          <w:rFonts w:ascii="FangSong" w:hAnsi="FangSong" w:eastAsia="FangSong" w:cs="FangSong"/>
          <w:sz w:val="24"/>
          <w:szCs w:val="24"/>
        </w:rPr>
      </w:pPr>
      <w:r>
        <w:rPr>
          <w:rFonts w:ascii="FangSong" w:hAnsi="FangSong" w:eastAsia="FangSong" w:cs="FangSong"/>
          <w:sz w:val="24"/>
          <w:szCs w:val="24"/>
          <w:spacing w:val="-1"/>
        </w:rPr>
        <w:t>在0.3</w:t>
      </w:r>
      <w:r>
        <w:rPr>
          <w:sz w:val="24"/>
          <w:szCs w:val="24"/>
          <w:spacing w:val="-1"/>
        </w:rPr>
        <w:t>m</w:t>
      </w:r>
      <w:r>
        <w:rPr>
          <w:sz w:val="24"/>
          <w:szCs w:val="24"/>
          <w:spacing w:val="-38"/>
        </w:rPr>
        <w:t xml:space="preserve"> </w:t>
      </w:r>
      <w:r>
        <w:rPr>
          <w:rFonts w:ascii="FangSong" w:hAnsi="FangSong" w:eastAsia="FangSong" w:cs="FangSong"/>
          <w:sz w:val="24"/>
          <w:szCs w:val="24"/>
          <w:spacing w:val="-1"/>
        </w:rPr>
        <w:t>以上的煤层进行区域突出危险性评估。</w:t>
      </w:r>
    </w:p>
    <w:p>
      <w:pPr>
        <w:ind w:left="482"/>
        <w:spacing w:before="184" w:line="222" w:lineRule="auto"/>
        <w:rPr>
          <w:rFonts w:ascii="KaiTi" w:hAnsi="KaiTi" w:eastAsia="KaiTi" w:cs="KaiTi"/>
          <w:sz w:val="24"/>
          <w:szCs w:val="24"/>
        </w:rPr>
      </w:pPr>
      <w:r>
        <w:rPr>
          <w:rFonts w:ascii="KaiTi" w:hAnsi="KaiTi" w:eastAsia="KaiTi" w:cs="KaiTi"/>
          <w:sz w:val="24"/>
          <w:szCs w:val="24"/>
          <w:spacing w:val="-6"/>
        </w:rPr>
        <w:t>简要介绍评估结论及评估依据。</w:t>
      </w:r>
    </w:p>
    <w:p>
      <w:pPr>
        <w:spacing w:line="222" w:lineRule="auto"/>
        <w:sectPr>
          <w:headerReference w:type="default" r:id="rId14"/>
          <w:footerReference w:type="default" r:id="rId15"/>
          <w:pgSz w:w="11900" w:h="16940"/>
          <w:pgMar w:top="934" w:right="1100" w:bottom="868" w:left="1067" w:header="744" w:footer="729" w:gutter="0"/>
        </w:sectPr>
        <w:rPr>
          <w:rFonts w:ascii="KaiTi" w:hAnsi="KaiTi" w:eastAsia="KaiTi" w:cs="KaiTi"/>
          <w:sz w:val="24"/>
          <w:szCs w:val="24"/>
        </w:rPr>
      </w:pPr>
    </w:p>
    <w:p>
      <w:pPr>
        <w:spacing w:line="422" w:lineRule="auto"/>
        <w:rPr>
          <w:rFonts w:ascii="Arial"/>
          <w:sz w:val="21"/>
        </w:rPr>
      </w:pPr>
      <w:r/>
    </w:p>
    <w:p>
      <w:pPr>
        <w:ind w:left="2767"/>
        <w:spacing w:before="114" w:line="499" w:lineRule="exact"/>
        <w:rPr>
          <w:rFonts w:ascii="KaiTi" w:hAnsi="KaiTi" w:eastAsia="KaiTi" w:cs="KaiTi"/>
          <w:sz w:val="35"/>
          <w:szCs w:val="35"/>
        </w:rPr>
      </w:pPr>
      <w:bookmarkStart w:name="bookmark25" w:id="16"/>
      <w:bookmarkEnd w:id="16"/>
      <w:r>
        <w:rPr>
          <w:rFonts w:ascii="KaiTi" w:hAnsi="KaiTi" w:eastAsia="KaiTi" w:cs="KaiTi"/>
          <w:sz w:val="35"/>
          <w:szCs w:val="35"/>
          <w:b/>
          <w:bCs/>
          <w:spacing w:val="1"/>
          <w:position w:val="9"/>
        </w:rPr>
        <w:t>第三章</w:t>
      </w:r>
      <w:r>
        <w:rPr>
          <w:rFonts w:ascii="KaiTi" w:hAnsi="KaiTi" w:eastAsia="KaiTi" w:cs="KaiTi"/>
          <w:sz w:val="35"/>
          <w:szCs w:val="35"/>
          <w:spacing w:val="1"/>
          <w:position w:val="9"/>
        </w:rPr>
        <w:t xml:space="preserve">  </w:t>
      </w:r>
      <w:r>
        <w:rPr>
          <w:rFonts w:ascii="KaiTi" w:hAnsi="KaiTi" w:eastAsia="KaiTi" w:cs="KaiTi"/>
          <w:sz w:val="35"/>
          <w:szCs w:val="35"/>
          <w:b/>
          <w:bCs/>
          <w:spacing w:val="1"/>
          <w:position w:val="9"/>
        </w:rPr>
        <w:t>区域综合防突措施</w:t>
      </w:r>
    </w:p>
    <w:p>
      <w:pPr>
        <w:ind w:left="3256"/>
        <w:spacing w:line="224" w:lineRule="auto"/>
        <w:rPr>
          <w:rFonts w:ascii="KaiTi" w:hAnsi="KaiTi" w:eastAsia="KaiTi" w:cs="KaiTi"/>
          <w:sz w:val="29"/>
          <w:szCs w:val="29"/>
        </w:rPr>
      </w:pPr>
      <w:r>
        <w:rPr>
          <w:rFonts w:ascii="KaiTi" w:hAnsi="KaiTi" w:eastAsia="KaiTi" w:cs="KaiTi"/>
          <w:sz w:val="29"/>
          <w:szCs w:val="29"/>
          <w:b/>
          <w:bCs/>
          <w:spacing w:val="2"/>
        </w:rPr>
        <w:t>第一节</w:t>
      </w:r>
      <w:r>
        <w:rPr>
          <w:rFonts w:ascii="KaiTi" w:hAnsi="KaiTi" w:eastAsia="KaiTi" w:cs="KaiTi"/>
          <w:sz w:val="29"/>
          <w:szCs w:val="29"/>
          <w:spacing w:val="25"/>
        </w:rPr>
        <w:t xml:space="preserve">  </w:t>
      </w:r>
      <w:r>
        <w:rPr>
          <w:rFonts w:ascii="KaiTi" w:hAnsi="KaiTi" w:eastAsia="KaiTi" w:cs="KaiTi"/>
          <w:sz w:val="29"/>
          <w:szCs w:val="29"/>
          <w:b/>
          <w:bCs/>
          <w:spacing w:val="2"/>
        </w:rPr>
        <w:t>区域突出危险性预测</w:t>
      </w:r>
    </w:p>
    <w:p>
      <w:pPr>
        <w:pStyle w:val="BodyText"/>
        <w:ind w:left="2" w:firstLine="619"/>
        <w:spacing w:before="181" w:line="347" w:lineRule="auto"/>
        <w:jc w:val="both"/>
        <w:rPr>
          <w:rFonts w:ascii="FangSong" w:hAnsi="FangSong" w:eastAsia="FangSong" w:cs="FangSong"/>
          <w:sz w:val="24"/>
          <w:szCs w:val="24"/>
        </w:rPr>
      </w:pPr>
      <w:r>
        <w:rPr>
          <w:sz w:val="24"/>
          <w:szCs w:val="24"/>
        </w:rPr>
        <w:t>煤矿主要依据煤层瓦斯的井下实测资料，并结合地质勘查资</w:t>
      </w:r>
      <w:r>
        <w:rPr>
          <w:sz w:val="24"/>
          <w:szCs w:val="24"/>
          <w:spacing w:val="-1"/>
        </w:rPr>
        <w:t>料、上水平及邻近区域的实</w:t>
      </w:r>
      <w:r>
        <w:rPr>
          <w:sz w:val="24"/>
          <w:szCs w:val="24"/>
        </w:rPr>
        <w:t xml:space="preserve"> </w:t>
      </w:r>
      <w:r>
        <w:rPr>
          <w:rFonts w:ascii="FangSong" w:hAnsi="FangSong" w:eastAsia="FangSong" w:cs="FangSong"/>
          <w:sz w:val="24"/>
          <w:szCs w:val="24"/>
          <w:spacing w:val="2"/>
        </w:rPr>
        <w:t>测和生产资料等对开采的突出煤层进行区域突出危险性预测(以下简称区域预测)。经区域预</w:t>
      </w:r>
      <w:r>
        <w:rPr>
          <w:rFonts w:ascii="FangSong" w:hAnsi="FangSong" w:eastAsia="FangSong" w:cs="FangSong"/>
          <w:sz w:val="24"/>
          <w:szCs w:val="24"/>
          <w:spacing w:val="2"/>
        </w:rPr>
        <w:t xml:space="preserve"> </w:t>
      </w:r>
      <w:r>
        <w:rPr>
          <w:rFonts w:ascii="FangSong" w:hAnsi="FangSong" w:eastAsia="FangSong" w:cs="FangSong"/>
          <w:sz w:val="24"/>
          <w:szCs w:val="24"/>
          <w:spacing w:val="-7"/>
        </w:rPr>
        <w:t>测后，突出煤层划分为无突出危险区和突出危险区，用于指导采煤工作面设计和采掘生产作业。</w:t>
      </w:r>
    </w:p>
    <w:p>
      <w:pPr>
        <w:pStyle w:val="BodyText"/>
        <w:ind w:left="2"/>
        <w:spacing w:line="220" w:lineRule="auto"/>
        <w:rPr>
          <w:sz w:val="24"/>
          <w:szCs w:val="24"/>
        </w:rPr>
      </w:pPr>
      <w:r>
        <w:rPr>
          <w:sz w:val="24"/>
          <w:szCs w:val="24"/>
          <w:spacing w:val="-5"/>
        </w:rPr>
        <w:t>未进行区域预测的区域视为突出危险区。</w:t>
      </w:r>
    </w:p>
    <w:p>
      <w:pPr>
        <w:ind w:left="495"/>
        <w:spacing w:before="184" w:line="223" w:lineRule="auto"/>
        <w:outlineLvl w:val="0"/>
        <w:rPr>
          <w:rFonts w:ascii="KaiTi" w:hAnsi="KaiTi" w:eastAsia="KaiTi" w:cs="KaiTi"/>
          <w:sz w:val="24"/>
          <w:szCs w:val="24"/>
        </w:rPr>
      </w:pPr>
      <w:r>
        <w:rPr>
          <w:rFonts w:ascii="KaiTi" w:hAnsi="KaiTi" w:eastAsia="KaiTi" w:cs="KaiTi"/>
          <w:sz w:val="24"/>
          <w:szCs w:val="24"/>
          <w:b/>
          <w:bCs/>
          <w:spacing w:val="-7"/>
        </w:rPr>
        <w:t>一</w:t>
      </w:r>
      <w:r>
        <w:rPr>
          <w:rFonts w:ascii="KaiTi" w:hAnsi="KaiTi" w:eastAsia="KaiTi" w:cs="KaiTi"/>
          <w:sz w:val="24"/>
          <w:szCs w:val="24"/>
          <w:spacing w:val="-53"/>
        </w:rPr>
        <w:t xml:space="preserve"> </w:t>
      </w:r>
      <w:r>
        <w:rPr>
          <w:rFonts w:ascii="KaiTi" w:hAnsi="KaiTi" w:eastAsia="KaiTi" w:cs="KaiTi"/>
          <w:sz w:val="24"/>
          <w:szCs w:val="24"/>
          <w:b/>
          <w:bCs/>
          <w:spacing w:val="-7"/>
        </w:rPr>
        <w:t>、区城预测的范围及区段区域预测结果管理</w:t>
      </w:r>
    </w:p>
    <w:p>
      <w:pPr>
        <w:pStyle w:val="BodyText"/>
        <w:ind w:left="492"/>
        <w:spacing w:before="178" w:line="461" w:lineRule="exact"/>
        <w:rPr>
          <w:sz w:val="24"/>
          <w:szCs w:val="24"/>
        </w:rPr>
      </w:pPr>
      <w:r>
        <w:rPr>
          <w:sz w:val="24"/>
          <w:szCs w:val="24"/>
          <w:spacing w:val="-3"/>
          <w:position w:val="16"/>
        </w:rPr>
        <w:t>按照《防治煤与瓦斯突出细则》第五十二条要求，介绍区域预</w:t>
      </w:r>
      <w:r>
        <w:rPr>
          <w:sz w:val="24"/>
          <w:szCs w:val="24"/>
          <w:spacing w:val="-4"/>
          <w:position w:val="16"/>
        </w:rPr>
        <w:t>测的的范围及区段区域预测</w:t>
      </w:r>
    </w:p>
    <w:p>
      <w:pPr>
        <w:pStyle w:val="BodyText"/>
        <w:ind w:left="2"/>
        <w:spacing w:line="219" w:lineRule="auto"/>
        <w:rPr>
          <w:sz w:val="24"/>
          <w:szCs w:val="24"/>
        </w:rPr>
      </w:pPr>
      <w:r>
        <w:rPr>
          <w:sz w:val="24"/>
          <w:szCs w:val="24"/>
          <w:spacing w:val="-12"/>
        </w:rPr>
        <w:t>结果管理。</w:t>
      </w:r>
    </w:p>
    <w:p>
      <w:pPr>
        <w:ind w:left="495"/>
        <w:spacing w:before="179" w:line="225" w:lineRule="auto"/>
        <w:outlineLvl w:val="0"/>
        <w:rPr>
          <w:rFonts w:ascii="KaiTi" w:hAnsi="KaiTi" w:eastAsia="KaiTi" w:cs="KaiTi"/>
          <w:sz w:val="24"/>
          <w:szCs w:val="24"/>
        </w:rPr>
      </w:pPr>
      <w:r>
        <w:rPr>
          <w:rFonts w:ascii="KaiTi" w:hAnsi="KaiTi" w:eastAsia="KaiTi" w:cs="KaiTi"/>
          <w:sz w:val="24"/>
          <w:szCs w:val="24"/>
          <w:b/>
          <w:bCs/>
          <w:spacing w:val="-5"/>
        </w:rPr>
        <w:t>二、区域预测的实施单位及要求</w:t>
      </w:r>
    </w:p>
    <w:p>
      <w:pPr>
        <w:pStyle w:val="BodyText"/>
        <w:spacing w:before="162" w:line="219" w:lineRule="auto"/>
        <w:jc w:val="right"/>
        <w:rPr>
          <w:sz w:val="24"/>
          <w:szCs w:val="24"/>
        </w:rPr>
      </w:pPr>
      <w:r>
        <w:rPr>
          <w:sz w:val="24"/>
          <w:szCs w:val="24"/>
          <w:spacing w:val="-7"/>
        </w:rPr>
        <w:t>按照《防治煤与瓦斯突出细则》第五十二条要求，介绍区域预测实</w:t>
      </w:r>
      <w:r>
        <w:rPr>
          <w:sz w:val="24"/>
          <w:szCs w:val="24"/>
          <w:spacing w:val="-8"/>
        </w:rPr>
        <w:t>施单位、预测结果审批。</w:t>
      </w:r>
    </w:p>
    <w:p>
      <w:pPr>
        <w:pStyle w:val="BodyText"/>
        <w:ind w:left="495"/>
        <w:spacing w:before="164" w:line="220" w:lineRule="auto"/>
        <w:outlineLvl w:val="0"/>
        <w:rPr>
          <w:sz w:val="24"/>
          <w:szCs w:val="24"/>
        </w:rPr>
      </w:pPr>
      <w:r>
        <w:rPr>
          <w:sz w:val="24"/>
          <w:szCs w:val="24"/>
          <w:b/>
          <w:bCs/>
          <w:spacing w:val="-15"/>
        </w:rPr>
        <w:t>三、</w:t>
      </w:r>
      <w:r>
        <w:rPr>
          <w:sz w:val="24"/>
          <w:szCs w:val="24"/>
          <w:spacing w:val="-42"/>
        </w:rPr>
        <w:t xml:space="preserve"> </w:t>
      </w:r>
      <w:r>
        <w:rPr>
          <w:sz w:val="24"/>
          <w:szCs w:val="24"/>
          <w:b/>
          <w:bCs/>
          <w:spacing w:val="-15"/>
        </w:rPr>
        <w:t>区域预测的方法</w:t>
      </w:r>
    </w:p>
    <w:p>
      <w:pPr>
        <w:pStyle w:val="BodyText"/>
        <w:ind w:left="2" w:right="87" w:firstLine="489"/>
        <w:spacing w:before="196" w:line="346" w:lineRule="auto"/>
        <w:jc w:val="both"/>
        <w:rPr>
          <w:sz w:val="24"/>
          <w:szCs w:val="24"/>
        </w:rPr>
      </w:pPr>
      <w:r>
        <w:rPr>
          <w:sz w:val="24"/>
          <w:szCs w:val="24"/>
          <w:spacing w:val="-4"/>
        </w:rPr>
        <w:t>按照《防治煤与瓦斯突出细则》第五十七、五十八条要求，介绍区域预测可用方法，试验</w:t>
      </w:r>
      <w:r>
        <w:rPr>
          <w:sz w:val="24"/>
          <w:szCs w:val="24"/>
          <w:spacing w:val="15"/>
        </w:rPr>
        <w:t xml:space="preserve"> </w:t>
      </w:r>
      <w:r>
        <w:rPr>
          <w:sz w:val="24"/>
          <w:szCs w:val="24"/>
          <w:spacing w:val="-3"/>
        </w:rPr>
        <w:t>确定临界值的要求，根据煤层瓦斯参数结合瓦斯地质分析的区域预测方法己其</w:t>
      </w:r>
      <w:r>
        <w:rPr>
          <w:sz w:val="24"/>
          <w:szCs w:val="24"/>
          <w:spacing w:val="-4"/>
        </w:rPr>
        <w:t>包括的内容、步</w:t>
      </w:r>
    </w:p>
    <w:p>
      <w:pPr>
        <w:pStyle w:val="BodyText"/>
        <w:ind w:left="2"/>
        <w:spacing w:before="1" w:line="218" w:lineRule="auto"/>
        <w:rPr>
          <w:sz w:val="24"/>
          <w:szCs w:val="24"/>
        </w:rPr>
      </w:pPr>
      <w:r>
        <w:rPr>
          <w:sz w:val="24"/>
          <w:szCs w:val="24"/>
          <w:spacing w:val="-6"/>
        </w:rPr>
        <w:t>骤和基本要求。</w:t>
      </w:r>
    </w:p>
    <w:p>
      <w:pPr>
        <w:ind w:left="495"/>
        <w:spacing w:before="190" w:line="222" w:lineRule="auto"/>
        <w:outlineLvl w:val="0"/>
        <w:rPr>
          <w:rFonts w:ascii="FangSong" w:hAnsi="FangSong" w:eastAsia="FangSong" w:cs="FangSong"/>
          <w:sz w:val="24"/>
          <w:szCs w:val="24"/>
        </w:rPr>
      </w:pPr>
      <w:r>
        <w:rPr>
          <w:rFonts w:ascii="FangSong" w:hAnsi="FangSong" w:eastAsia="FangSong" w:cs="FangSong"/>
          <w:sz w:val="24"/>
          <w:szCs w:val="24"/>
          <w:b/>
          <w:bCs/>
          <w:spacing w:val="-8"/>
        </w:rPr>
        <w:t>四</w:t>
      </w:r>
      <w:r>
        <w:rPr>
          <w:rFonts w:ascii="FangSong" w:hAnsi="FangSong" w:eastAsia="FangSong" w:cs="FangSong"/>
          <w:sz w:val="24"/>
          <w:szCs w:val="24"/>
          <w:spacing w:val="-55"/>
        </w:rPr>
        <w:t xml:space="preserve"> </w:t>
      </w:r>
      <w:r>
        <w:rPr>
          <w:rFonts w:ascii="FangSong" w:hAnsi="FangSong" w:eastAsia="FangSong" w:cs="FangSong"/>
          <w:sz w:val="24"/>
          <w:szCs w:val="24"/>
          <w:b/>
          <w:bCs/>
          <w:spacing w:val="-8"/>
        </w:rPr>
        <w:t>、区域预测瓦斯参数测试的具体要求</w:t>
      </w:r>
    </w:p>
    <w:p>
      <w:pPr>
        <w:ind w:left="492"/>
        <w:spacing w:before="149" w:line="220" w:lineRule="auto"/>
        <w:rPr>
          <w:rFonts w:ascii="KaiTi" w:hAnsi="KaiTi" w:eastAsia="KaiTi" w:cs="KaiTi"/>
          <w:sz w:val="24"/>
          <w:szCs w:val="24"/>
        </w:rPr>
      </w:pPr>
      <w:r>
        <w:rPr>
          <w:rFonts w:ascii="KaiTi" w:hAnsi="KaiTi" w:eastAsia="KaiTi" w:cs="KaiTi"/>
          <w:sz w:val="24"/>
          <w:szCs w:val="24"/>
          <w:spacing w:val="-1"/>
        </w:rPr>
        <w:t>按照《防治煤与瓦斯突出细则》第五十九条要求，介绍区域预测瓦</w:t>
      </w:r>
      <w:r>
        <w:rPr>
          <w:rFonts w:ascii="KaiTi" w:hAnsi="KaiTi" w:eastAsia="KaiTi" w:cs="KaiTi"/>
          <w:sz w:val="24"/>
          <w:szCs w:val="24"/>
          <w:spacing w:val="-2"/>
        </w:rPr>
        <w:t>斯参数测试的要求</w:t>
      </w:r>
    </w:p>
    <w:p>
      <w:pPr>
        <w:ind w:left="3706"/>
        <w:spacing w:before="157" w:line="224" w:lineRule="auto"/>
        <w:rPr>
          <w:rFonts w:ascii="KaiTi" w:hAnsi="KaiTi" w:eastAsia="KaiTi" w:cs="KaiTi"/>
          <w:sz w:val="29"/>
          <w:szCs w:val="29"/>
        </w:rPr>
      </w:pPr>
      <w:r>
        <w:rPr>
          <w:rFonts w:ascii="KaiTi" w:hAnsi="KaiTi" w:eastAsia="KaiTi" w:cs="KaiTi"/>
          <w:sz w:val="29"/>
          <w:szCs w:val="29"/>
          <w:b/>
          <w:bCs/>
        </w:rPr>
        <w:t>第二节</w:t>
      </w:r>
      <w:r>
        <w:rPr>
          <w:rFonts w:ascii="KaiTi" w:hAnsi="KaiTi" w:eastAsia="KaiTi" w:cs="KaiTi"/>
          <w:sz w:val="29"/>
          <w:szCs w:val="29"/>
          <w:spacing w:val="16"/>
        </w:rPr>
        <w:t xml:space="preserve">  </w:t>
      </w:r>
      <w:r>
        <w:rPr>
          <w:rFonts w:ascii="KaiTi" w:hAnsi="KaiTi" w:eastAsia="KaiTi" w:cs="KaiTi"/>
          <w:sz w:val="29"/>
          <w:szCs w:val="29"/>
          <w:b/>
          <w:bCs/>
        </w:rPr>
        <w:t>区域防突措施</w:t>
      </w:r>
    </w:p>
    <w:p>
      <w:pPr>
        <w:ind w:left="492"/>
        <w:spacing w:before="149" w:line="455" w:lineRule="exact"/>
        <w:rPr>
          <w:rFonts w:ascii="FangSong" w:hAnsi="FangSong" w:eastAsia="FangSong" w:cs="FangSong"/>
          <w:sz w:val="24"/>
          <w:szCs w:val="24"/>
        </w:rPr>
      </w:pPr>
      <w:r>
        <w:rPr>
          <w:rFonts w:ascii="FangSong" w:hAnsi="FangSong" w:eastAsia="FangSong" w:cs="FangSong"/>
          <w:sz w:val="24"/>
          <w:szCs w:val="24"/>
          <w:spacing w:val="-4"/>
          <w:position w:val="16"/>
        </w:rPr>
        <w:t>区域防突措施是指在突出煤层进行采掘前，对突出危险煤层较大范围采取的防突措施。区</w:t>
      </w:r>
    </w:p>
    <w:p>
      <w:pPr>
        <w:pStyle w:val="BodyText"/>
        <w:ind w:left="2"/>
        <w:spacing w:before="1" w:line="218" w:lineRule="auto"/>
        <w:rPr>
          <w:sz w:val="24"/>
          <w:szCs w:val="24"/>
        </w:rPr>
      </w:pPr>
      <w:r>
        <w:rPr>
          <w:sz w:val="24"/>
          <w:szCs w:val="24"/>
          <w:spacing w:val="-2"/>
        </w:rPr>
        <w:t>域防突措施包括开采保护层和预抽煤层瓦斯两类。</w:t>
      </w:r>
    </w:p>
    <w:p>
      <w:pPr>
        <w:ind w:left="495"/>
        <w:spacing w:before="191" w:line="227" w:lineRule="auto"/>
        <w:outlineLvl w:val="0"/>
        <w:rPr>
          <w:rFonts w:ascii="KaiTi" w:hAnsi="KaiTi" w:eastAsia="KaiTi" w:cs="KaiTi"/>
          <w:sz w:val="24"/>
          <w:szCs w:val="24"/>
        </w:rPr>
      </w:pPr>
      <w:r>
        <w:rPr>
          <w:rFonts w:ascii="KaiTi" w:hAnsi="KaiTi" w:eastAsia="KaiTi" w:cs="KaiTi"/>
          <w:sz w:val="24"/>
          <w:szCs w:val="24"/>
          <w:b/>
          <w:bCs/>
          <w:spacing w:val="-7"/>
        </w:rPr>
        <w:t>一</w:t>
      </w:r>
      <w:r>
        <w:rPr>
          <w:rFonts w:ascii="KaiTi" w:hAnsi="KaiTi" w:eastAsia="KaiTi" w:cs="KaiTi"/>
          <w:sz w:val="24"/>
          <w:szCs w:val="24"/>
          <w:spacing w:val="-56"/>
        </w:rPr>
        <w:t xml:space="preserve"> </w:t>
      </w:r>
      <w:r>
        <w:rPr>
          <w:rFonts w:ascii="KaiTi" w:hAnsi="KaiTi" w:eastAsia="KaiTi" w:cs="KaiTi"/>
          <w:sz w:val="24"/>
          <w:szCs w:val="24"/>
          <w:b/>
          <w:bCs/>
          <w:spacing w:val="-7"/>
        </w:rPr>
        <w:t>、区域防突措施方案的选择</w:t>
      </w:r>
    </w:p>
    <w:p>
      <w:pPr>
        <w:pStyle w:val="BodyText"/>
        <w:ind w:left="492"/>
        <w:spacing w:before="159" w:line="219" w:lineRule="auto"/>
        <w:rPr>
          <w:sz w:val="24"/>
          <w:szCs w:val="24"/>
        </w:rPr>
      </w:pPr>
      <w:r>
        <w:rPr>
          <w:sz w:val="24"/>
          <w:szCs w:val="24"/>
          <w:spacing w:val="-2"/>
        </w:rPr>
        <w:t>结合矿井实际，按照开采保护层、预抽煤层瓦斯顺序选择区域</w:t>
      </w:r>
      <w:r>
        <w:rPr>
          <w:sz w:val="24"/>
          <w:szCs w:val="24"/>
          <w:spacing w:val="-3"/>
        </w:rPr>
        <w:t>防突措施。</w:t>
      </w:r>
    </w:p>
    <w:p>
      <w:pPr>
        <w:ind w:left="495"/>
        <w:spacing w:before="163" w:line="227" w:lineRule="auto"/>
        <w:outlineLvl w:val="0"/>
        <w:rPr>
          <w:rFonts w:ascii="KaiTi" w:hAnsi="KaiTi" w:eastAsia="KaiTi" w:cs="KaiTi"/>
          <w:sz w:val="24"/>
          <w:szCs w:val="24"/>
        </w:rPr>
      </w:pPr>
      <w:r>
        <w:rPr>
          <w:rFonts w:ascii="KaiTi" w:hAnsi="KaiTi" w:eastAsia="KaiTi" w:cs="KaiTi"/>
          <w:sz w:val="24"/>
          <w:szCs w:val="24"/>
          <w:b/>
          <w:bCs/>
          <w:spacing w:val="-11"/>
        </w:rPr>
        <w:t>二、保护层开采</w:t>
      </w:r>
    </w:p>
    <w:p>
      <w:pPr>
        <w:ind w:left="495"/>
        <w:spacing w:before="173" w:line="227" w:lineRule="auto"/>
        <w:outlineLvl w:val="0"/>
        <w:rPr>
          <w:rFonts w:ascii="KaiTi" w:hAnsi="KaiTi" w:eastAsia="KaiTi" w:cs="KaiTi"/>
          <w:sz w:val="24"/>
          <w:szCs w:val="24"/>
        </w:rPr>
      </w:pPr>
      <w:r>
        <w:rPr>
          <w:rFonts w:ascii="KaiTi" w:hAnsi="KaiTi" w:eastAsia="KaiTi" w:cs="KaiTi"/>
          <w:sz w:val="24"/>
          <w:szCs w:val="24"/>
          <w:b/>
          <w:bCs/>
          <w:spacing w:val="-6"/>
        </w:rPr>
        <w:t>1.首采保护层的选择论证</w:t>
      </w:r>
    </w:p>
    <w:p>
      <w:pPr>
        <w:ind w:left="492"/>
        <w:spacing w:before="161" w:line="450" w:lineRule="exact"/>
        <w:rPr>
          <w:rFonts w:ascii="KaiTi" w:hAnsi="KaiTi" w:eastAsia="KaiTi" w:cs="KaiTi"/>
          <w:sz w:val="24"/>
          <w:szCs w:val="24"/>
        </w:rPr>
      </w:pPr>
      <w:r>
        <w:rPr>
          <w:rFonts w:ascii="KaiTi" w:hAnsi="KaiTi" w:eastAsia="KaiTi" w:cs="KaiTi"/>
          <w:sz w:val="24"/>
          <w:szCs w:val="24"/>
          <w:spacing w:val="-4"/>
          <w:position w:val="15"/>
        </w:rPr>
        <w:t>结合《防治煤与瓦斯突出细则》第六十一条要求，从突出危险性程度大小、开采条件、煤</w:t>
      </w:r>
    </w:p>
    <w:p>
      <w:pPr>
        <w:ind w:left="2"/>
        <w:spacing w:line="220" w:lineRule="auto"/>
        <w:rPr>
          <w:rFonts w:ascii="KaiTi" w:hAnsi="KaiTi" w:eastAsia="KaiTi" w:cs="KaiTi"/>
          <w:sz w:val="24"/>
          <w:szCs w:val="24"/>
        </w:rPr>
      </w:pPr>
      <w:r>
        <w:rPr>
          <w:rFonts w:ascii="KaiTi" w:hAnsi="KaiTi" w:eastAsia="KaiTi" w:cs="KaiTi"/>
          <w:sz w:val="24"/>
          <w:szCs w:val="24"/>
          <w:spacing w:val="-2"/>
        </w:rPr>
        <w:t>层透气性系数等方面，对保护层选择进行选择论证分析。</w:t>
      </w:r>
    </w:p>
    <w:p>
      <w:pPr>
        <w:ind w:left="495"/>
        <w:spacing w:before="188" w:line="227" w:lineRule="auto"/>
        <w:outlineLvl w:val="0"/>
        <w:rPr>
          <w:rFonts w:ascii="KaiTi" w:hAnsi="KaiTi" w:eastAsia="KaiTi" w:cs="KaiTi"/>
          <w:sz w:val="24"/>
          <w:szCs w:val="24"/>
        </w:rPr>
      </w:pPr>
      <w:r>
        <w:rPr>
          <w:rFonts w:ascii="KaiTi" w:hAnsi="KaiTi" w:eastAsia="KaiTi" w:cs="KaiTi"/>
          <w:sz w:val="24"/>
          <w:szCs w:val="24"/>
          <w:b/>
          <w:bCs/>
          <w:spacing w:val="-6"/>
        </w:rPr>
        <w:t>2.保护层保护范围的确定</w:t>
      </w:r>
    </w:p>
    <w:p>
      <w:pPr>
        <w:pStyle w:val="BodyText"/>
        <w:ind w:left="2" w:right="78" w:firstLine="489"/>
        <w:spacing w:before="170" w:line="346" w:lineRule="auto"/>
        <w:jc w:val="both"/>
        <w:rPr>
          <w:rFonts w:ascii="KaiTi" w:hAnsi="KaiTi" w:eastAsia="KaiTi" w:cs="KaiTi"/>
          <w:sz w:val="24"/>
          <w:szCs w:val="24"/>
        </w:rPr>
      </w:pPr>
      <w:r>
        <w:rPr>
          <w:sz w:val="24"/>
          <w:szCs w:val="24"/>
          <w:spacing w:val="-3"/>
        </w:rPr>
        <w:t>按照《防治煤与瓦斯突出细则》第六十三条要求，</w:t>
      </w:r>
      <w:r>
        <w:rPr>
          <w:sz w:val="24"/>
          <w:szCs w:val="24"/>
          <w:spacing w:val="-4"/>
        </w:rPr>
        <w:t>参照《防治煤与瓦斯突出细则》附录</w:t>
      </w:r>
      <w:r>
        <w:rPr>
          <w:sz w:val="24"/>
          <w:szCs w:val="24"/>
          <w:spacing w:val="-41"/>
        </w:rPr>
        <w:t xml:space="preserve"> </w:t>
      </w:r>
      <w:r>
        <w:rPr>
          <w:rFonts w:ascii="Times New Roman" w:hAnsi="Times New Roman" w:eastAsia="Times New Roman" w:cs="Times New Roman"/>
          <w:sz w:val="24"/>
          <w:szCs w:val="24"/>
          <w:spacing w:val="-4"/>
        </w:rPr>
        <w:t>E</w:t>
      </w:r>
      <w:r>
        <w:rPr>
          <w:rFonts w:ascii="Times New Roman" w:hAnsi="Times New Roman" w:eastAsia="Times New Roman" w:cs="Times New Roman"/>
          <w:sz w:val="24"/>
          <w:szCs w:val="24"/>
        </w:rPr>
        <w:t xml:space="preserve"> </w:t>
      </w:r>
      <w:r>
        <w:rPr>
          <w:rFonts w:ascii="KaiTi" w:hAnsi="KaiTi" w:eastAsia="KaiTi" w:cs="KaiTi"/>
          <w:sz w:val="24"/>
          <w:szCs w:val="24"/>
          <w:spacing w:val="-3"/>
        </w:rPr>
        <w:t>保护层保护范围的确定，根据矿井煤层赋存情况，简要介绍保护层沿倾斜方向的保护范围、沿</w:t>
      </w:r>
    </w:p>
    <w:p>
      <w:pPr>
        <w:pStyle w:val="BodyText"/>
        <w:ind w:left="2"/>
        <w:spacing w:line="218" w:lineRule="auto"/>
        <w:rPr>
          <w:sz w:val="24"/>
          <w:szCs w:val="24"/>
        </w:rPr>
      </w:pPr>
      <w:r>
        <w:rPr>
          <w:sz w:val="24"/>
          <w:szCs w:val="24"/>
          <w:spacing w:val="-2"/>
        </w:rPr>
        <w:t>走向法向的保护范围、最大保护垂距、开采下保护层的最小层间距。</w:t>
      </w:r>
    </w:p>
    <w:p>
      <w:pPr>
        <w:spacing w:line="218" w:lineRule="auto"/>
        <w:sectPr>
          <w:headerReference w:type="default" r:id="rId16"/>
          <w:footerReference w:type="default" r:id="rId17"/>
          <w:pgSz w:w="11900" w:h="16940"/>
          <w:pgMar w:top="934" w:right="1049" w:bottom="870" w:left="1047" w:header="744" w:footer="713" w:gutter="0"/>
        </w:sectPr>
        <w:rPr>
          <w:sz w:val="24"/>
          <w:szCs w:val="24"/>
        </w:rPr>
      </w:pPr>
    </w:p>
    <w:p>
      <w:pPr>
        <w:spacing w:line="284" w:lineRule="auto"/>
        <w:rPr>
          <w:rFonts w:ascii="Arial"/>
          <w:sz w:val="21"/>
        </w:rPr>
      </w:pPr>
      <w:r/>
    </w:p>
    <w:p>
      <w:pPr>
        <w:spacing w:line="285" w:lineRule="auto"/>
        <w:rPr>
          <w:rFonts w:ascii="Arial"/>
          <w:sz w:val="21"/>
        </w:rPr>
      </w:pPr>
      <w:r/>
    </w:p>
    <w:p>
      <w:pPr>
        <w:pStyle w:val="BodyText"/>
        <w:ind w:left="488"/>
        <w:spacing w:before="74" w:line="219" w:lineRule="auto"/>
        <w:outlineLvl w:val="0"/>
        <w:rPr>
          <w:sz w:val="23"/>
          <w:szCs w:val="23"/>
        </w:rPr>
      </w:pPr>
      <w:bookmarkStart w:name="bookmark26" w:id="17"/>
      <w:bookmarkEnd w:id="17"/>
      <w:r>
        <w:rPr>
          <w:sz w:val="23"/>
          <w:szCs w:val="23"/>
          <w:b/>
          <w:bCs/>
          <w:spacing w:val="4"/>
        </w:rPr>
        <w:t>3.开采保护层区城防突措施的要求</w:t>
      </w:r>
    </w:p>
    <w:p>
      <w:pPr>
        <w:pStyle w:val="BodyText"/>
        <w:ind w:left="5" w:right="201" w:firstLine="479"/>
        <w:spacing w:before="191" w:line="367" w:lineRule="auto"/>
        <w:jc w:val="both"/>
        <w:rPr>
          <w:rFonts w:ascii="FangSong" w:hAnsi="FangSong" w:eastAsia="FangSong" w:cs="FangSong"/>
          <w:sz w:val="23"/>
          <w:szCs w:val="23"/>
        </w:rPr>
      </w:pPr>
      <w:r>
        <w:rPr>
          <w:sz w:val="23"/>
          <w:szCs w:val="23"/>
          <w:spacing w:val="7"/>
        </w:rPr>
        <w:t>按照《防治煤与瓦斯突出细则》第六十二条要求</w:t>
      </w:r>
      <w:r>
        <w:rPr>
          <w:sz w:val="23"/>
          <w:szCs w:val="23"/>
          <w:spacing w:val="6"/>
        </w:rPr>
        <w:t>，根据矿井煤层赋存概况，介绍开采保护</w:t>
      </w:r>
      <w:r>
        <w:rPr>
          <w:sz w:val="23"/>
          <w:szCs w:val="23"/>
        </w:rPr>
        <w:t xml:space="preserve"> </w:t>
      </w:r>
      <w:r>
        <w:rPr>
          <w:rFonts w:ascii="FangSong" w:hAnsi="FangSong" w:eastAsia="FangSong" w:cs="FangSong"/>
          <w:sz w:val="23"/>
          <w:szCs w:val="23"/>
          <w:spacing w:val="10"/>
        </w:rPr>
        <w:t>层区域防突措施时应当做到连续和规模开采、抽采被保护层和邻近</w:t>
      </w:r>
      <w:r>
        <w:rPr>
          <w:rFonts w:ascii="FangSong" w:hAnsi="FangSong" w:eastAsia="FangSong" w:cs="FangSong"/>
          <w:sz w:val="23"/>
          <w:szCs w:val="23"/>
          <w:spacing w:val="9"/>
        </w:rPr>
        <w:t>层瓦斯(附抽采被保护层和</w:t>
      </w:r>
    </w:p>
    <w:p>
      <w:pPr>
        <w:ind w:left="5"/>
        <w:spacing w:before="1" w:line="222" w:lineRule="auto"/>
        <w:rPr>
          <w:rFonts w:ascii="KaiTi" w:hAnsi="KaiTi" w:eastAsia="KaiTi" w:cs="KaiTi"/>
          <w:sz w:val="23"/>
          <w:szCs w:val="23"/>
        </w:rPr>
      </w:pPr>
      <w:r>
        <w:rPr>
          <w:rFonts w:ascii="KaiTi" w:hAnsi="KaiTi" w:eastAsia="KaiTi" w:cs="KaiTi"/>
          <w:sz w:val="23"/>
          <w:szCs w:val="23"/>
          <w:spacing w:val="6"/>
        </w:rPr>
        <w:t>邻近层的瓦斯钻孔设计)、保护层采煤工作面与被保护层掘进工</w:t>
      </w:r>
      <w:r>
        <w:rPr>
          <w:rFonts w:ascii="KaiTi" w:hAnsi="KaiTi" w:eastAsia="KaiTi" w:cs="KaiTi"/>
          <w:sz w:val="23"/>
          <w:szCs w:val="23"/>
          <w:spacing w:val="5"/>
        </w:rPr>
        <w:t>作面的关系、煤柱管理的要求。</w:t>
      </w:r>
    </w:p>
    <w:p>
      <w:pPr>
        <w:pStyle w:val="BodyText"/>
        <w:ind w:left="488"/>
        <w:spacing w:before="184" w:line="219" w:lineRule="auto"/>
        <w:outlineLvl w:val="0"/>
        <w:rPr>
          <w:sz w:val="23"/>
          <w:szCs w:val="23"/>
        </w:rPr>
      </w:pPr>
      <w:r>
        <w:rPr>
          <w:sz w:val="23"/>
          <w:szCs w:val="23"/>
          <w:b/>
          <w:bCs/>
        </w:rPr>
        <w:t>三、预抽煤层瓦斯</w:t>
      </w:r>
    </w:p>
    <w:p>
      <w:pPr>
        <w:pStyle w:val="BodyText"/>
        <w:ind w:left="5" w:right="131" w:firstLine="479"/>
        <w:spacing w:before="181" w:line="369" w:lineRule="auto"/>
        <w:jc w:val="both"/>
        <w:rPr>
          <w:rFonts w:ascii="FangSong" w:hAnsi="FangSong" w:eastAsia="FangSong" w:cs="FangSong"/>
          <w:sz w:val="23"/>
          <w:szCs w:val="23"/>
        </w:rPr>
      </w:pPr>
      <w:r>
        <w:rPr>
          <w:sz w:val="23"/>
          <w:szCs w:val="23"/>
          <w:spacing w:val="3"/>
        </w:rPr>
        <w:t>按照《防治煤与瓦斯突出细则》第六十四条要求，介</w:t>
      </w:r>
      <w:r>
        <w:rPr>
          <w:sz w:val="23"/>
          <w:szCs w:val="23"/>
          <w:spacing w:val="2"/>
        </w:rPr>
        <w:t>绍穿层钻孔或顺层预抽区段煤层瓦斯、</w:t>
      </w:r>
      <w:r>
        <w:rPr>
          <w:sz w:val="23"/>
          <w:szCs w:val="23"/>
        </w:rPr>
        <w:t xml:space="preserve"> </w:t>
      </w:r>
      <w:r>
        <w:rPr>
          <w:sz w:val="23"/>
          <w:szCs w:val="23"/>
          <w:spacing w:val="6"/>
        </w:rPr>
        <w:t>顺层钻孔或穿层钻孔预抽回采区域煤层瓦斯、穿层钻孔预抽井巷揭煤区域煤层瓦斯、穿层钻孔 </w:t>
      </w:r>
      <w:r>
        <w:rPr>
          <w:sz w:val="23"/>
          <w:szCs w:val="23"/>
          <w:spacing w:val="6"/>
        </w:rPr>
        <w:t>预抽煤巷条带煤层瓦斯、定向长钻孔预抽煤巷条带煤层瓦斯的区域措施时的控制范围，工作面 </w:t>
      </w:r>
      <w:r>
        <w:rPr>
          <w:sz w:val="23"/>
          <w:szCs w:val="23"/>
          <w:spacing w:val="6"/>
        </w:rPr>
        <w:t>距未预抽或者预抽防突效果无效区域边界的最小距离，厚煤层分层开采控制范围，对距本煤层 </w:t>
      </w:r>
      <w:r>
        <w:rPr>
          <w:rFonts w:ascii="FangSong" w:hAnsi="FangSong" w:eastAsia="FangSong" w:cs="FangSong"/>
          <w:sz w:val="23"/>
          <w:szCs w:val="23"/>
          <w:spacing w:val="9"/>
        </w:rPr>
        <w:t>法向距离小于5</w:t>
      </w:r>
      <w:r>
        <w:rPr>
          <w:sz w:val="23"/>
          <w:szCs w:val="23"/>
          <w:spacing w:val="9"/>
        </w:rPr>
        <w:t>m</w:t>
      </w:r>
      <w:r>
        <w:rPr>
          <w:sz w:val="23"/>
          <w:szCs w:val="23"/>
          <w:spacing w:val="-47"/>
        </w:rPr>
        <w:t xml:space="preserve"> </w:t>
      </w:r>
      <w:r>
        <w:rPr>
          <w:rFonts w:ascii="FangSong" w:hAnsi="FangSong" w:eastAsia="FangSong" w:cs="FangSong"/>
          <w:sz w:val="23"/>
          <w:szCs w:val="23"/>
          <w:spacing w:val="9"/>
        </w:rPr>
        <w:t>的平均厚度大于0.3</w:t>
      </w:r>
      <w:r>
        <w:rPr>
          <w:sz w:val="23"/>
          <w:szCs w:val="23"/>
          <w:spacing w:val="9"/>
        </w:rPr>
        <w:t>m</w:t>
      </w:r>
      <w:r>
        <w:rPr>
          <w:sz w:val="23"/>
          <w:szCs w:val="23"/>
          <w:spacing w:val="-47"/>
        </w:rPr>
        <w:t xml:space="preserve"> </w:t>
      </w:r>
      <w:r>
        <w:rPr>
          <w:rFonts w:ascii="FangSong" w:hAnsi="FangSong" w:eastAsia="FangSong" w:cs="FangSong"/>
          <w:sz w:val="23"/>
          <w:szCs w:val="23"/>
          <w:spacing w:val="9"/>
        </w:rPr>
        <w:t>的邻近突出</w:t>
      </w:r>
      <w:r>
        <w:rPr>
          <w:rFonts w:ascii="FangSong" w:hAnsi="FangSong" w:eastAsia="FangSong" w:cs="FangSong"/>
          <w:sz w:val="23"/>
          <w:szCs w:val="23"/>
          <w:spacing w:val="8"/>
        </w:rPr>
        <w:t>煤层的预抽钻孔控制范围，煤层瓦斯压力达</w:t>
      </w:r>
    </w:p>
    <w:p>
      <w:pPr>
        <w:pStyle w:val="BodyText"/>
        <w:ind w:left="5"/>
        <w:spacing w:before="1" w:line="218" w:lineRule="auto"/>
        <w:rPr>
          <w:sz w:val="23"/>
          <w:szCs w:val="23"/>
        </w:rPr>
      </w:pPr>
      <w:r>
        <w:rPr>
          <w:sz w:val="23"/>
          <w:szCs w:val="23"/>
          <w:spacing w:val="1"/>
        </w:rPr>
        <w:t>到</w:t>
      </w:r>
      <w:r>
        <w:rPr>
          <w:sz w:val="23"/>
          <w:szCs w:val="23"/>
          <w:spacing w:val="-44"/>
        </w:rPr>
        <w:t xml:space="preserve"> </w:t>
      </w:r>
      <w:r>
        <w:rPr>
          <w:sz w:val="23"/>
          <w:szCs w:val="23"/>
          <w:spacing w:val="1"/>
        </w:rPr>
        <w:t>3</w:t>
      </w:r>
      <w:r>
        <w:rPr>
          <w:sz w:val="23"/>
          <w:szCs w:val="23"/>
        </w:rPr>
        <w:t>MPa</w:t>
      </w:r>
      <w:r>
        <w:rPr>
          <w:sz w:val="23"/>
          <w:szCs w:val="23"/>
          <w:spacing w:val="1"/>
        </w:rPr>
        <w:t>.的区域采取的区域防突措施等。</w:t>
      </w:r>
    </w:p>
    <w:p>
      <w:pPr>
        <w:pStyle w:val="BodyText"/>
        <w:ind w:left="488"/>
        <w:spacing w:before="185" w:line="219" w:lineRule="auto"/>
        <w:outlineLvl w:val="0"/>
        <w:rPr>
          <w:sz w:val="23"/>
          <w:szCs w:val="23"/>
        </w:rPr>
      </w:pPr>
      <w:r>
        <w:rPr>
          <w:sz w:val="23"/>
          <w:szCs w:val="23"/>
          <w:b/>
          <w:bCs/>
          <w:spacing w:val="2"/>
        </w:rPr>
        <w:t>四、预抽煤层瓦斯相关要求</w:t>
      </w:r>
    </w:p>
    <w:p>
      <w:pPr>
        <w:pStyle w:val="BodyText"/>
        <w:ind w:left="485"/>
        <w:spacing w:before="207" w:line="216" w:lineRule="auto"/>
        <w:rPr>
          <w:sz w:val="23"/>
          <w:szCs w:val="23"/>
        </w:rPr>
      </w:pPr>
      <w:r>
        <w:rPr>
          <w:sz w:val="23"/>
          <w:szCs w:val="23"/>
          <w:spacing w:val="16"/>
        </w:rPr>
        <w:t>1.瓦斯抽采半径：抽采钻孔设计半径(抽采时间对应的抽采半径),依据来源。</w:t>
      </w:r>
    </w:p>
    <w:p>
      <w:pPr>
        <w:pStyle w:val="BodyText"/>
        <w:spacing w:before="183" w:line="460" w:lineRule="exact"/>
        <w:jc w:val="right"/>
        <w:rPr>
          <w:sz w:val="23"/>
          <w:szCs w:val="23"/>
        </w:rPr>
      </w:pPr>
      <w:r>
        <w:rPr>
          <w:sz w:val="23"/>
          <w:szCs w:val="23"/>
          <w:spacing w:val="6"/>
          <w:position w:val="17"/>
        </w:rPr>
        <w:t>2.预抽钻孔封孔方法：松软煤层的瓦斯抽采钻孔必须采</w:t>
      </w:r>
      <w:r>
        <w:rPr>
          <w:sz w:val="23"/>
          <w:szCs w:val="23"/>
          <w:spacing w:val="5"/>
          <w:position w:val="17"/>
        </w:rPr>
        <w:t>用“两堵一注+带压封孔+全程套管”</w:t>
      </w:r>
    </w:p>
    <w:p>
      <w:pPr>
        <w:pStyle w:val="BodyText"/>
        <w:ind w:left="5"/>
        <w:spacing w:before="1" w:line="218" w:lineRule="auto"/>
        <w:rPr>
          <w:sz w:val="23"/>
          <w:szCs w:val="23"/>
        </w:rPr>
      </w:pPr>
      <w:r>
        <w:rPr>
          <w:sz w:val="23"/>
          <w:szCs w:val="23"/>
          <w:spacing w:val="3"/>
        </w:rPr>
        <w:t>抽采工艺。封孔长度。</w:t>
      </w:r>
    </w:p>
    <w:p>
      <w:pPr>
        <w:pStyle w:val="BodyText"/>
        <w:ind w:left="485"/>
        <w:spacing w:before="199" w:line="220" w:lineRule="auto"/>
        <w:rPr>
          <w:sz w:val="23"/>
          <w:szCs w:val="23"/>
        </w:rPr>
      </w:pPr>
      <w:r>
        <w:rPr>
          <w:sz w:val="23"/>
          <w:szCs w:val="23"/>
          <w:spacing w:val="-1"/>
        </w:rPr>
        <w:t>3.钻孔施工质量要求：</w:t>
      </w:r>
    </w:p>
    <w:p>
      <w:pPr>
        <w:ind w:left="485"/>
        <w:spacing w:before="171" w:line="469" w:lineRule="exact"/>
        <w:rPr>
          <w:rFonts w:ascii="FangSong" w:hAnsi="FangSong" w:eastAsia="FangSong" w:cs="FangSong"/>
          <w:sz w:val="23"/>
          <w:szCs w:val="23"/>
        </w:rPr>
      </w:pPr>
      <w:r>
        <w:rPr>
          <w:rFonts w:ascii="FangSong" w:hAnsi="FangSong" w:eastAsia="FangSong" w:cs="FangSong"/>
          <w:sz w:val="23"/>
          <w:szCs w:val="23"/>
          <w:spacing w:val="6"/>
          <w:position w:val="18"/>
        </w:rPr>
        <w:t>4.根据矿井瓦斯防治工作的实际需要，将预抽煤层瓦斯的整个煤巷条带划分为若干个评价</w:t>
      </w:r>
    </w:p>
    <w:p>
      <w:pPr>
        <w:ind w:left="5"/>
        <w:spacing w:before="1" w:line="219" w:lineRule="auto"/>
        <w:rPr>
          <w:rFonts w:ascii="FangSong" w:hAnsi="FangSong" w:eastAsia="FangSong" w:cs="FangSong"/>
          <w:sz w:val="23"/>
          <w:szCs w:val="23"/>
        </w:rPr>
      </w:pPr>
      <w:r>
        <w:rPr>
          <w:rFonts w:ascii="FangSong" w:hAnsi="FangSong" w:eastAsia="FangSong" w:cs="FangSong"/>
          <w:sz w:val="23"/>
          <w:szCs w:val="23"/>
          <w:spacing w:val="6"/>
        </w:rPr>
        <w:t>单元，针对每一个评价单元在其抽采管网安装在线计量装置。</w:t>
      </w:r>
    </w:p>
    <w:p>
      <w:pPr>
        <w:ind w:left="3089"/>
        <w:spacing w:before="135" w:line="503" w:lineRule="exact"/>
        <w:rPr>
          <w:rFonts w:ascii="KaiTi" w:hAnsi="KaiTi" w:eastAsia="KaiTi" w:cs="KaiTi"/>
          <w:sz w:val="30"/>
          <w:szCs w:val="30"/>
        </w:rPr>
      </w:pPr>
      <w:r>
        <w:rPr>
          <w:rFonts w:ascii="KaiTi" w:hAnsi="KaiTi" w:eastAsia="KaiTi" w:cs="KaiTi"/>
          <w:sz w:val="30"/>
          <w:szCs w:val="30"/>
          <w:b/>
          <w:bCs/>
          <w:spacing w:val="-6"/>
          <w:position w:val="14"/>
        </w:rPr>
        <w:t>第三节</w:t>
      </w:r>
      <w:r>
        <w:rPr>
          <w:rFonts w:ascii="KaiTi" w:hAnsi="KaiTi" w:eastAsia="KaiTi" w:cs="KaiTi"/>
          <w:sz w:val="30"/>
          <w:szCs w:val="30"/>
          <w:spacing w:val="-6"/>
          <w:position w:val="14"/>
        </w:rPr>
        <w:t xml:space="preserve">  </w:t>
      </w:r>
      <w:r>
        <w:rPr>
          <w:rFonts w:ascii="KaiTi" w:hAnsi="KaiTi" w:eastAsia="KaiTi" w:cs="KaiTi"/>
          <w:sz w:val="30"/>
          <w:szCs w:val="30"/>
          <w:b/>
          <w:bCs/>
          <w:spacing w:val="-6"/>
          <w:position w:val="14"/>
        </w:rPr>
        <w:t>区域防突措施效果检验</w:t>
      </w:r>
    </w:p>
    <w:p>
      <w:pPr>
        <w:pStyle w:val="BodyText"/>
        <w:ind w:left="488"/>
        <w:spacing w:line="218" w:lineRule="auto"/>
        <w:rPr>
          <w:sz w:val="23"/>
          <w:szCs w:val="23"/>
        </w:rPr>
      </w:pPr>
      <w:r>
        <w:rPr>
          <w:sz w:val="23"/>
          <w:szCs w:val="23"/>
          <w:b/>
          <w:bCs/>
          <w:spacing w:val="6"/>
        </w:rPr>
        <w:t>一、开采保护层区城措施效果检验</w:t>
      </w:r>
    </w:p>
    <w:p>
      <w:pPr>
        <w:pStyle w:val="BodyText"/>
        <w:ind w:left="485"/>
        <w:spacing w:before="191" w:line="470" w:lineRule="exact"/>
        <w:rPr>
          <w:sz w:val="23"/>
          <w:szCs w:val="23"/>
        </w:rPr>
      </w:pPr>
      <w:r>
        <w:rPr>
          <w:sz w:val="23"/>
          <w:szCs w:val="23"/>
          <w:spacing w:val="3"/>
          <w:position w:val="18"/>
        </w:rPr>
        <w:t>按照《防治煤与瓦斯突出细则》第六十八条及《保护层开</w:t>
      </w:r>
      <w:r>
        <w:rPr>
          <w:sz w:val="23"/>
          <w:szCs w:val="23"/>
          <w:spacing w:val="2"/>
          <w:position w:val="18"/>
        </w:rPr>
        <w:t>采技术规范》</w:t>
      </w:r>
      <w:r>
        <w:rPr>
          <w:sz w:val="23"/>
          <w:szCs w:val="23"/>
          <w:spacing w:val="85"/>
          <w:position w:val="18"/>
        </w:rPr>
        <w:t xml:space="preserve"> </w:t>
      </w:r>
      <w:r>
        <w:rPr>
          <w:sz w:val="23"/>
          <w:szCs w:val="23"/>
          <w:spacing w:val="2"/>
          <w:position w:val="18"/>
        </w:rPr>
        <w:t>(</w:t>
      </w:r>
      <w:r>
        <w:rPr>
          <w:sz w:val="23"/>
          <w:szCs w:val="23"/>
          <w:position w:val="18"/>
        </w:rPr>
        <w:t>AQ</w:t>
      </w:r>
      <w:r>
        <w:rPr>
          <w:sz w:val="23"/>
          <w:szCs w:val="23"/>
          <w:spacing w:val="2"/>
          <w:position w:val="18"/>
        </w:rPr>
        <w:t>1050-2008</w:t>
      </w:r>
      <w:r>
        <w:rPr>
          <w:sz w:val="23"/>
          <w:szCs w:val="23"/>
          <w:spacing w:val="54"/>
          <w:position w:val="18"/>
        </w:rPr>
        <w:t xml:space="preserve"> </w:t>
      </w:r>
      <w:r>
        <w:rPr>
          <w:sz w:val="23"/>
          <w:szCs w:val="23"/>
          <w:spacing w:val="2"/>
          <w:position w:val="18"/>
        </w:rPr>
        <w:t>要</w:t>
      </w:r>
    </w:p>
    <w:p>
      <w:pPr>
        <w:pStyle w:val="BodyText"/>
        <w:ind w:left="5"/>
        <w:spacing w:before="1" w:line="218" w:lineRule="auto"/>
        <w:rPr>
          <w:sz w:val="23"/>
          <w:szCs w:val="23"/>
        </w:rPr>
      </w:pPr>
      <w:r>
        <w:rPr>
          <w:sz w:val="23"/>
          <w:szCs w:val="23"/>
          <w:spacing w:val="7"/>
        </w:rPr>
        <w:t>求，介绍开采保护层区域防突措施效果检验的指标和方法。</w:t>
      </w:r>
    </w:p>
    <w:p>
      <w:pPr>
        <w:ind w:left="488"/>
        <w:spacing w:before="162" w:line="224" w:lineRule="auto"/>
        <w:outlineLvl w:val="0"/>
        <w:rPr>
          <w:rFonts w:ascii="KaiTi" w:hAnsi="KaiTi" w:eastAsia="KaiTi" w:cs="KaiTi"/>
          <w:sz w:val="23"/>
          <w:szCs w:val="23"/>
        </w:rPr>
      </w:pPr>
      <w:r>
        <w:rPr>
          <w:rFonts w:ascii="KaiTi" w:hAnsi="KaiTi" w:eastAsia="KaiTi" w:cs="KaiTi"/>
          <w:sz w:val="23"/>
          <w:szCs w:val="23"/>
          <w:b/>
          <w:bCs/>
          <w:spacing w:val="5"/>
        </w:rPr>
        <w:t>二、预抽煤层瓦斯区城防突措施效果检验的指标和方法</w:t>
      </w:r>
    </w:p>
    <w:p>
      <w:pPr>
        <w:pStyle w:val="BodyText"/>
        <w:ind w:left="485"/>
        <w:spacing w:before="186" w:line="482" w:lineRule="exact"/>
        <w:rPr>
          <w:sz w:val="23"/>
          <w:szCs w:val="23"/>
        </w:rPr>
      </w:pPr>
      <w:r>
        <w:rPr>
          <w:sz w:val="23"/>
          <w:szCs w:val="23"/>
          <w:spacing w:val="6"/>
          <w:position w:val="19"/>
        </w:rPr>
        <w:t>按照《防治煤与瓦斯突出细则》第六十九条要求，介绍预抽煤层瓦斯区域防突措施效果检</w:t>
      </w:r>
    </w:p>
    <w:p>
      <w:pPr>
        <w:pStyle w:val="BodyText"/>
        <w:ind w:left="5"/>
        <w:spacing w:line="220" w:lineRule="auto"/>
        <w:rPr>
          <w:sz w:val="23"/>
          <w:szCs w:val="23"/>
        </w:rPr>
      </w:pPr>
      <w:r>
        <w:rPr>
          <w:sz w:val="23"/>
          <w:szCs w:val="23"/>
          <w:spacing w:val="-1"/>
        </w:rPr>
        <w:t>验的指标和方法。</w:t>
      </w:r>
    </w:p>
    <w:p>
      <w:pPr>
        <w:pStyle w:val="BodyText"/>
        <w:ind w:left="488"/>
        <w:spacing w:before="172" w:line="219" w:lineRule="auto"/>
        <w:outlineLvl w:val="0"/>
        <w:rPr>
          <w:sz w:val="23"/>
          <w:szCs w:val="23"/>
        </w:rPr>
      </w:pPr>
      <w:r>
        <w:rPr>
          <w:sz w:val="23"/>
          <w:szCs w:val="23"/>
          <w:b/>
          <w:bCs/>
          <w:spacing w:val="6"/>
        </w:rPr>
        <w:t>三、预抽煤层瓦斯区域防突措施效果检验合格判断</w:t>
      </w:r>
      <w:r>
        <w:rPr>
          <w:sz w:val="23"/>
          <w:szCs w:val="23"/>
          <w:b/>
          <w:bCs/>
          <w:spacing w:val="5"/>
        </w:rPr>
        <w:t>方法</w:t>
      </w:r>
    </w:p>
    <w:p>
      <w:pPr>
        <w:pStyle w:val="BodyText"/>
        <w:ind w:left="605"/>
        <w:spacing w:before="180" w:line="481" w:lineRule="exact"/>
        <w:rPr>
          <w:sz w:val="23"/>
          <w:szCs w:val="23"/>
        </w:rPr>
      </w:pPr>
      <w:r>
        <w:rPr>
          <w:sz w:val="23"/>
          <w:szCs w:val="23"/>
          <w:spacing w:val="9"/>
          <w:position w:val="19"/>
        </w:rPr>
        <w:t>按照《防治煤与瓦斯突出细则》第七十条要求，介绍预抽煤层瓦斯区域防突措施时判断</w:t>
      </w:r>
    </w:p>
    <w:p>
      <w:pPr>
        <w:pStyle w:val="BodyText"/>
        <w:ind w:left="5"/>
        <w:spacing w:line="220" w:lineRule="auto"/>
        <w:rPr>
          <w:sz w:val="23"/>
          <w:szCs w:val="23"/>
        </w:rPr>
      </w:pPr>
      <w:r>
        <w:rPr>
          <w:sz w:val="23"/>
          <w:szCs w:val="23"/>
          <w:spacing w:val="3"/>
        </w:rPr>
        <w:t>和划分有效和无效区域的要求。</w:t>
      </w:r>
    </w:p>
    <w:p>
      <w:pPr>
        <w:pStyle w:val="BodyText"/>
        <w:ind w:left="488"/>
        <w:spacing w:before="172" w:line="219" w:lineRule="auto"/>
        <w:outlineLvl w:val="0"/>
        <w:rPr>
          <w:sz w:val="23"/>
          <w:szCs w:val="23"/>
        </w:rPr>
      </w:pPr>
      <w:r>
        <w:rPr>
          <w:sz w:val="23"/>
          <w:szCs w:val="23"/>
          <w:b/>
          <w:bCs/>
          <w:spacing w:val="6"/>
        </w:rPr>
        <w:t>四、预抽煤层瓦斯区城防突措施效果检验的前提条件</w:t>
      </w:r>
    </w:p>
    <w:p>
      <w:pPr>
        <w:ind w:left="485"/>
        <w:spacing w:before="181" w:line="220" w:lineRule="auto"/>
        <w:rPr>
          <w:rFonts w:ascii="KaiTi" w:hAnsi="KaiTi" w:eastAsia="KaiTi" w:cs="KaiTi"/>
          <w:sz w:val="23"/>
          <w:szCs w:val="23"/>
        </w:rPr>
      </w:pPr>
      <w:r>
        <w:rPr>
          <w:rFonts w:ascii="KaiTi" w:hAnsi="KaiTi" w:eastAsia="KaiTi" w:cs="KaiTi"/>
          <w:sz w:val="23"/>
          <w:szCs w:val="23"/>
          <w:spacing w:val="6"/>
        </w:rPr>
        <w:t>按照《防治煤与瓦斯突出细则》第七十一条要求，介绍预抽煤层瓦斯区域防突措施效果检</w:t>
      </w:r>
    </w:p>
    <w:p>
      <w:pPr>
        <w:spacing w:line="220" w:lineRule="auto"/>
        <w:sectPr>
          <w:headerReference w:type="default" r:id="rId18"/>
          <w:footerReference w:type="default" r:id="rId19"/>
          <w:pgSz w:w="11900" w:h="16940"/>
          <w:pgMar w:top="937" w:right="913" w:bottom="872" w:left="1064" w:header="747" w:footer="713" w:gutter="0"/>
        </w:sectPr>
        <w:rPr>
          <w:rFonts w:ascii="KaiTi" w:hAnsi="KaiTi" w:eastAsia="KaiTi" w:cs="KaiTi"/>
          <w:sz w:val="23"/>
          <w:szCs w:val="23"/>
        </w:rPr>
      </w:pPr>
    </w:p>
    <w:p>
      <w:pPr>
        <w:spacing w:line="283" w:lineRule="auto"/>
        <w:rPr>
          <w:rFonts w:ascii="Arial"/>
          <w:sz w:val="21"/>
        </w:rPr>
      </w:pPr>
      <w:r/>
    </w:p>
    <w:p>
      <w:pPr>
        <w:spacing w:line="284" w:lineRule="auto"/>
        <w:rPr>
          <w:rFonts w:ascii="Arial"/>
          <w:sz w:val="21"/>
        </w:rPr>
      </w:pPr>
      <w:r/>
    </w:p>
    <w:p>
      <w:pPr>
        <w:ind w:left="5"/>
        <w:spacing w:before="78" w:line="224" w:lineRule="auto"/>
        <w:rPr>
          <w:rFonts w:ascii="KaiTi" w:hAnsi="KaiTi" w:eastAsia="KaiTi" w:cs="KaiTi"/>
          <w:sz w:val="24"/>
          <w:szCs w:val="24"/>
        </w:rPr>
      </w:pPr>
      <w:r>
        <w:rPr>
          <w:rFonts w:ascii="KaiTi" w:hAnsi="KaiTi" w:eastAsia="KaiTi" w:cs="KaiTi"/>
          <w:sz w:val="24"/>
          <w:szCs w:val="24"/>
          <w:spacing w:val="-10"/>
        </w:rPr>
        <w:t>验的前提条件。</w:t>
      </w:r>
    </w:p>
    <w:p>
      <w:pPr>
        <w:ind w:left="478"/>
        <w:spacing w:before="164" w:line="220" w:lineRule="auto"/>
        <w:outlineLvl w:val="0"/>
        <w:rPr>
          <w:rFonts w:ascii="FangSong" w:hAnsi="FangSong" w:eastAsia="FangSong" w:cs="FangSong"/>
          <w:sz w:val="24"/>
          <w:szCs w:val="24"/>
        </w:rPr>
      </w:pPr>
      <w:r>
        <w:rPr>
          <w:rFonts w:ascii="FangSong" w:hAnsi="FangSong" w:eastAsia="FangSong" w:cs="FangSong"/>
          <w:sz w:val="24"/>
          <w:szCs w:val="24"/>
          <w:b/>
          <w:bCs/>
          <w:spacing w:val="-4"/>
        </w:rPr>
        <w:t>五、预抽煤层瓦斯区域防突措施检验测试点布置要求</w:t>
      </w:r>
    </w:p>
    <w:p>
      <w:pPr>
        <w:pStyle w:val="BodyText"/>
        <w:ind w:right="45"/>
        <w:spacing w:before="151" w:line="476" w:lineRule="exact"/>
        <w:jc w:val="right"/>
        <w:rPr>
          <w:sz w:val="24"/>
          <w:szCs w:val="24"/>
        </w:rPr>
      </w:pPr>
      <w:r>
        <w:rPr>
          <w:sz w:val="24"/>
          <w:szCs w:val="24"/>
          <w:spacing w:val="-4"/>
          <w:position w:val="17"/>
        </w:rPr>
        <w:t>按照《防治煤与瓦斯突出细则》第七十二条要求，介绍依据直接测定的煤层残余瓦斯压力</w:t>
      </w:r>
    </w:p>
    <w:p>
      <w:pPr>
        <w:ind w:left="5"/>
        <w:spacing w:line="220" w:lineRule="auto"/>
        <w:rPr>
          <w:rFonts w:ascii="FangSong" w:hAnsi="FangSong" w:eastAsia="FangSong" w:cs="FangSong"/>
          <w:sz w:val="24"/>
          <w:szCs w:val="24"/>
        </w:rPr>
      </w:pPr>
      <w:r>
        <w:rPr>
          <w:rFonts w:ascii="FangSong" w:hAnsi="FangSong" w:eastAsia="FangSong" w:cs="FangSong"/>
          <w:sz w:val="24"/>
          <w:szCs w:val="24"/>
          <w:spacing w:val="-1"/>
        </w:rPr>
        <w:t>或残余瓦斯含量进行预抽煤层瓦斯区域防突措施效果检</w:t>
      </w:r>
      <w:r>
        <w:rPr>
          <w:rFonts w:ascii="FangSong" w:hAnsi="FangSong" w:eastAsia="FangSong" w:cs="FangSong"/>
          <w:sz w:val="24"/>
          <w:szCs w:val="24"/>
          <w:spacing w:val="-2"/>
        </w:rPr>
        <w:t>验测时指标测试点的布置要求。</w:t>
      </w:r>
    </w:p>
    <w:p>
      <w:pPr>
        <w:ind w:left="3979"/>
        <w:spacing w:before="111" w:line="510" w:lineRule="exact"/>
        <w:rPr>
          <w:rFonts w:ascii="STXinwei" w:hAnsi="STXinwei" w:eastAsia="STXinwei" w:cs="STXinwei"/>
          <w:sz w:val="29"/>
          <w:szCs w:val="29"/>
        </w:rPr>
      </w:pPr>
      <w:bookmarkStart w:name="bookmark27" w:id="18"/>
      <w:bookmarkEnd w:id="18"/>
      <w:r>
        <w:rPr>
          <w:rFonts w:ascii="STXinwei" w:hAnsi="STXinwei" w:eastAsia="STXinwei" w:cs="STXinwei"/>
          <w:sz w:val="29"/>
          <w:szCs w:val="29"/>
          <w:b/>
          <w:bCs/>
          <w:spacing w:val="4"/>
          <w:position w:val="17"/>
        </w:rPr>
        <w:t>第四节</w:t>
      </w:r>
      <w:r>
        <w:rPr>
          <w:rFonts w:ascii="STXinwei" w:hAnsi="STXinwei" w:eastAsia="STXinwei" w:cs="STXinwei"/>
          <w:sz w:val="29"/>
          <w:szCs w:val="29"/>
          <w:spacing w:val="4"/>
          <w:position w:val="17"/>
        </w:rPr>
        <w:t xml:space="preserve">    </w:t>
      </w:r>
      <w:r>
        <w:rPr>
          <w:rFonts w:ascii="STXinwei" w:hAnsi="STXinwei" w:eastAsia="STXinwei" w:cs="STXinwei"/>
          <w:sz w:val="29"/>
          <w:szCs w:val="29"/>
          <w:b/>
          <w:bCs/>
          <w:spacing w:val="4"/>
          <w:position w:val="17"/>
        </w:rPr>
        <w:t>区域验证</w:t>
      </w:r>
    </w:p>
    <w:p>
      <w:pPr>
        <w:ind w:left="478"/>
        <w:spacing w:before="1" w:line="220" w:lineRule="auto"/>
        <w:rPr>
          <w:rFonts w:ascii="FangSong" w:hAnsi="FangSong" w:eastAsia="FangSong" w:cs="FangSong"/>
          <w:sz w:val="24"/>
          <w:szCs w:val="24"/>
        </w:rPr>
      </w:pPr>
      <w:r>
        <w:rPr>
          <w:rFonts w:ascii="FangSong" w:hAnsi="FangSong" w:eastAsia="FangSong" w:cs="FangSong"/>
          <w:sz w:val="24"/>
          <w:szCs w:val="24"/>
          <w:b/>
          <w:bCs/>
          <w:spacing w:val="-7"/>
        </w:rPr>
        <w:t>一</w:t>
      </w:r>
      <w:r>
        <w:rPr>
          <w:rFonts w:ascii="FangSong" w:hAnsi="FangSong" w:eastAsia="FangSong" w:cs="FangSong"/>
          <w:sz w:val="24"/>
          <w:szCs w:val="24"/>
          <w:spacing w:val="-33"/>
        </w:rPr>
        <w:t xml:space="preserve"> </w:t>
      </w:r>
      <w:r>
        <w:rPr>
          <w:rFonts w:ascii="FangSong" w:hAnsi="FangSong" w:eastAsia="FangSong" w:cs="FangSong"/>
          <w:sz w:val="24"/>
          <w:szCs w:val="24"/>
          <w:b/>
          <w:bCs/>
          <w:spacing w:val="-7"/>
        </w:rPr>
        <w:t>、区域验证的方法和需要进行区城验证的具体情况</w:t>
      </w:r>
    </w:p>
    <w:p>
      <w:pPr>
        <w:pStyle w:val="BodyText"/>
        <w:ind w:right="36"/>
        <w:spacing w:before="189" w:line="459" w:lineRule="exact"/>
        <w:jc w:val="right"/>
        <w:rPr>
          <w:sz w:val="24"/>
          <w:szCs w:val="24"/>
        </w:rPr>
      </w:pPr>
      <w:r>
        <w:rPr>
          <w:sz w:val="24"/>
          <w:szCs w:val="24"/>
          <w:spacing w:val="-4"/>
          <w:position w:val="16"/>
        </w:rPr>
        <w:t>按照《防治煤与瓦斯突出细则》第七十三条要求，介绍区域验证的方法和需要进行区域验</w:t>
      </w:r>
    </w:p>
    <w:p>
      <w:pPr>
        <w:ind w:left="5"/>
        <w:spacing w:line="222" w:lineRule="auto"/>
        <w:rPr>
          <w:rFonts w:ascii="FangSong" w:hAnsi="FangSong" w:eastAsia="FangSong" w:cs="FangSong"/>
          <w:sz w:val="24"/>
          <w:szCs w:val="24"/>
        </w:rPr>
      </w:pPr>
      <w:r>
        <w:rPr>
          <w:rFonts w:ascii="FangSong" w:hAnsi="FangSong" w:eastAsia="FangSong" w:cs="FangSong"/>
          <w:sz w:val="24"/>
          <w:szCs w:val="24"/>
          <w:spacing w:val="-10"/>
        </w:rPr>
        <w:t>证的具体情况。</w:t>
      </w:r>
    </w:p>
    <w:p>
      <w:pPr>
        <w:ind w:left="478"/>
        <w:spacing w:before="158" w:line="222" w:lineRule="auto"/>
        <w:outlineLvl w:val="0"/>
        <w:rPr>
          <w:rFonts w:ascii="FangSong" w:hAnsi="FangSong" w:eastAsia="FangSong" w:cs="FangSong"/>
          <w:sz w:val="24"/>
          <w:szCs w:val="24"/>
        </w:rPr>
      </w:pPr>
      <w:r>
        <w:rPr>
          <w:rFonts w:ascii="FangSong" w:hAnsi="FangSong" w:eastAsia="FangSong" w:cs="FangSong"/>
          <w:sz w:val="24"/>
          <w:szCs w:val="24"/>
          <w:b/>
          <w:bCs/>
          <w:spacing w:val="-14"/>
        </w:rPr>
        <w:t>二、</w:t>
      </w:r>
      <w:r>
        <w:rPr>
          <w:rFonts w:ascii="FangSong" w:hAnsi="FangSong" w:eastAsia="FangSong" w:cs="FangSong"/>
          <w:sz w:val="24"/>
          <w:szCs w:val="24"/>
          <w:spacing w:val="-38"/>
        </w:rPr>
        <w:t xml:space="preserve"> </w:t>
      </w:r>
      <w:r>
        <w:rPr>
          <w:rFonts w:ascii="FangSong" w:hAnsi="FangSong" w:eastAsia="FangSong" w:cs="FangSong"/>
          <w:sz w:val="24"/>
          <w:szCs w:val="24"/>
          <w:b/>
          <w:bCs/>
          <w:spacing w:val="-14"/>
        </w:rPr>
        <w:t>区域验证结果的处理</w:t>
      </w:r>
    </w:p>
    <w:p>
      <w:pPr>
        <w:ind w:left="475"/>
        <w:spacing w:before="177" w:line="220" w:lineRule="auto"/>
        <w:rPr>
          <w:rFonts w:ascii="KaiTi" w:hAnsi="KaiTi" w:eastAsia="KaiTi" w:cs="KaiTi"/>
          <w:sz w:val="24"/>
          <w:szCs w:val="24"/>
        </w:rPr>
      </w:pPr>
      <w:r>
        <w:rPr>
          <w:rFonts w:ascii="KaiTi" w:hAnsi="KaiTi" w:eastAsia="KaiTi" w:cs="KaiTi"/>
          <w:sz w:val="24"/>
          <w:szCs w:val="24"/>
          <w:spacing w:val="-2"/>
        </w:rPr>
        <w:t>按照《防治煤与瓦斯突出细则》第七十四条要求，介绍区域验证结果的处理。</w:t>
      </w:r>
    </w:p>
    <w:p>
      <w:pPr>
        <w:spacing w:line="220" w:lineRule="auto"/>
        <w:sectPr>
          <w:headerReference w:type="default" r:id="rId20"/>
          <w:footerReference w:type="default" r:id="rId21"/>
          <w:pgSz w:w="11900" w:h="16940"/>
          <w:pgMar w:top="937" w:right="1090" w:bottom="889" w:left="1074" w:header="747" w:footer="763" w:gutter="0"/>
        </w:sectPr>
        <w:rPr>
          <w:rFonts w:ascii="KaiTi" w:hAnsi="KaiTi" w:eastAsia="KaiTi" w:cs="KaiTi"/>
          <w:sz w:val="24"/>
          <w:szCs w:val="24"/>
        </w:rPr>
      </w:pPr>
    </w:p>
    <w:p>
      <w:pPr>
        <w:spacing w:line="436" w:lineRule="auto"/>
        <w:rPr>
          <w:rFonts w:ascii="Arial"/>
          <w:sz w:val="21"/>
        </w:rPr>
      </w:pPr>
      <w:r/>
    </w:p>
    <w:p>
      <w:pPr>
        <w:pStyle w:val="BodyText"/>
        <w:ind w:left="2757"/>
        <w:spacing w:before="113" w:line="219" w:lineRule="auto"/>
        <w:rPr>
          <w:sz w:val="35"/>
          <w:szCs w:val="35"/>
        </w:rPr>
      </w:pPr>
      <w:bookmarkStart w:name="bookmark28" w:id="19"/>
      <w:bookmarkEnd w:id="19"/>
      <w:bookmarkStart w:name="bookmark29" w:id="20"/>
      <w:bookmarkEnd w:id="20"/>
      <w:bookmarkStart w:name="bookmark30" w:id="21"/>
      <w:bookmarkEnd w:id="21"/>
      <w:r>
        <w:rPr>
          <w:sz w:val="35"/>
          <w:szCs w:val="35"/>
          <w:b/>
          <w:bCs/>
          <w:spacing w:val="2"/>
        </w:rPr>
        <w:t>第四章</w:t>
      </w:r>
      <w:r>
        <w:rPr>
          <w:sz w:val="35"/>
          <w:szCs w:val="35"/>
          <w:spacing w:val="177"/>
        </w:rPr>
        <w:t xml:space="preserve"> </w:t>
      </w:r>
      <w:r>
        <w:rPr>
          <w:sz w:val="35"/>
          <w:szCs w:val="35"/>
          <w:b/>
          <w:bCs/>
          <w:spacing w:val="2"/>
        </w:rPr>
        <w:t>局部综合防突措施</w:t>
      </w:r>
    </w:p>
    <w:p>
      <w:pPr>
        <w:ind w:left="2646"/>
        <w:spacing w:before="68" w:line="530" w:lineRule="exact"/>
        <w:rPr>
          <w:rFonts w:ascii="KaiTi" w:hAnsi="KaiTi" w:eastAsia="KaiTi" w:cs="KaiTi"/>
          <w:sz w:val="29"/>
          <w:szCs w:val="29"/>
        </w:rPr>
      </w:pPr>
      <w:r>
        <w:rPr>
          <w:rFonts w:ascii="KaiTi" w:hAnsi="KaiTi" w:eastAsia="KaiTi" w:cs="KaiTi"/>
          <w:sz w:val="29"/>
          <w:szCs w:val="29"/>
          <w:b/>
          <w:bCs/>
          <w:spacing w:val="6"/>
          <w:position w:val="17"/>
        </w:rPr>
        <w:t>第一节</w:t>
      </w:r>
      <w:r>
        <w:rPr>
          <w:rFonts w:ascii="KaiTi" w:hAnsi="KaiTi" w:eastAsia="KaiTi" w:cs="KaiTi"/>
          <w:sz w:val="29"/>
          <w:szCs w:val="29"/>
          <w:spacing w:val="138"/>
          <w:position w:val="17"/>
        </w:rPr>
        <w:t xml:space="preserve"> </w:t>
      </w:r>
      <w:r>
        <w:rPr>
          <w:rFonts w:ascii="KaiTi" w:hAnsi="KaiTi" w:eastAsia="KaiTi" w:cs="KaiTi"/>
          <w:sz w:val="29"/>
          <w:szCs w:val="29"/>
          <w:b/>
          <w:bCs/>
          <w:spacing w:val="6"/>
          <w:position w:val="17"/>
        </w:rPr>
        <w:t>局部综合防突工作程序和要求</w:t>
      </w:r>
    </w:p>
    <w:p>
      <w:pPr>
        <w:ind w:left="475"/>
        <w:spacing w:before="1" w:line="222" w:lineRule="auto"/>
        <w:rPr>
          <w:rFonts w:ascii="KaiTi" w:hAnsi="KaiTi" w:eastAsia="KaiTi" w:cs="KaiTi"/>
          <w:sz w:val="23"/>
          <w:szCs w:val="23"/>
        </w:rPr>
      </w:pPr>
      <w:r>
        <w:rPr>
          <w:rFonts w:ascii="KaiTi" w:hAnsi="KaiTi" w:eastAsia="KaiTi" w:cs="KaiTi"/>
          <w:sz w:val="23"/>
          <w:szCs w:val="23"/>
          <w:b/>
          <w:bCs/>
          <w:spacing w:val="4"/>
        </w:rPr>
        <w:t>一、工作面预测范围及预测结果</w:t>
      </w:r>
    </w:p>
    <w:p>
      <w:pPr>
        <w:pStyle w:val="BodyText"/>
        <w:ind w:left="472"/>
        <w:spacing w:before="199" w:line="219" w:lineRule="auto"/>
        <w:rPr>
          <w:sz w:val="23"/>
          <w:szCs w:val="23"/>
        </w:rPr>
      </w:pPr>
      <w:r>
        <w:rPr>
          <w:sz w:val="23"/>
          <w:szCs w:val="23"/>
          <w:spacing w:val="8"/>
        </w:rPr>
        <w:t>按照《防治煤与瓦斯突出细则》第七十五条要求，介绍工作预测范围及预测结果管理。</w:t>
      </w:r>
    </w:p>
    <w:p>
      <w:pPr>
        <w:pStyle w:val="BodyText"/>
        <w:ind w:left="475"/>
        <w:spacing w:before="176" w:line="220" w:lineRule="auto"/>
        <w:outlineLvl w:val="0"/>
        <w:rPr>
          <w:sz w:val="23"/>
          <w:szCs w:val="23"/>
        </w:rPr>
      </w:pPr>
      <w:r>
        <w:rPr>
          <w:sz w:val="23"/>
          <w:szCs w:val="23"/>
          <w:b/>
          <w:bCs/>
          <w:spacing w:val="7"/>
        </w:rPr>
        <w:t>二、突出危险工作面和无突出危险工作面的工作程序</w:t>
      </w:r>
    </w:p>
    <w:p>
      <w:pPr>
        <w:pStyle w:val="BodyText"/>
        <w:ind w:right="37"/>
        <w:spacing w:before="177" w:line="481" w:lineRule="exact"/>
        <w:jc w:val="right"/>
        <w:rPr>
          <w:sz w:val="23"/>
          <w:szCs w:val="23"/>
        </w:rPr>
      </w:pPr>
      <w:r>
        <w:rPr>
          <w:sz w:val="23"/>
          <w:szCs w:val="23"/>
          <w:spacing w:val="6"/>
          <w:position w:val="19"/>
        </w:rPr>
        <w:t>按照《防治煤与瓦斯突出细则》第七十五条要求，介绍突出危险性工作面和无突出危险工</w:t>
      </w:r>
    </w:p>
    <w:p>
      <w:pPr>
        <w:pStyle w:val="BodyText"/>
        <w:ind w:left="2"/>
        <w:spacing w:line="219" w:lineRule="auto"/>
        <w:rPr>
          <w:sz w:val="23"/>
          <w:szCs w:val="23"/>
        </w:rPr>
      </w:pPr>
      <w:r>
        <w:rPr>
          <w:sz w:val="23"/>
          <w:szCs w:val="23"/>
          <w:spacing w:val="8"/>
        </w:rPr>
        <w:t>作面的工作程序、预测超前距、最小防突措施超前距、工作面防突措施竣工图管</w:t>
      </w:r>
      <w:r>
        <w:rPr>
          <w:sz w:val="23"/>
          <w:szCs w:val="23"/>
          <w:spacing w:val="7"/>
        </w:rPr>
        <w:t>理。</w:t>
      </w:r>
    </w:p>
    <w:p>
      <w:pPr>
        <w:ind w:left="475"/>
        <w:spacing w:before="161" w:line="474" w:lineRule="exact"/>
        <w:rPr>
          <w:rFonts w:ascii="KaiTi" w:hAnsi="KaiTi" w:eastAsia="KaiTi" w:cs="KaiTi"/>
          <w:sz w:val="23"/>
          <w:szCs w:val="23"/>
        </w:rPr>
      </w:pPr>
      <w:r>
        <w:rPr>
          <w:rFonts w:ascii="KaiTi" w:hAnsi="KaiTi" w:eastAsia="KaiTi" w:cs="KaiTi"/>
          <w:sz w:val="23"/>
          <w:szCs w:val="23"/>
          <w:b/>
          <w:bCs/>
          <w:spacing w:val="7"/>
          <w:position w:val="18"/>
        </w:rPr>
        <w:t>三、巷道揭煤过程中煤层层位控制及瓦斯参数测定</w:t>
      </w:r>
    </w:p>
    <w:p>
      <w:pPr>
        <w:pStyle w:val="BodyText"/>
        <w:ind w:left="475"/>
        <w:spacing w:line="220" w:lineRule="auto"/>
        <w:rPr>
          <w:sz w:val="23"/>
          <w:szCs w:val="23"/>
        </w:rPr>
      </w:pPr>
      <w:r>
        <w:rPr>
          <w:sz w:val="23"/>
          <w:szCs w:val="23"/>
          <w:b/>
          <w:bCs/>
          <w:spacing w:val="-4"/>
        </w:rPr>
        <w:t>1.地质前探</w:t>
      </w:r>
    </w:p>
    <w:p>
      <w:pPr>
        <w:ind w:left="612"/>
        <w:spacing w:before="195" w:line="222" w:lineRule="auto"/>
        <w:rPr>
          <w:rFonts w:ascii="FangSong" w:hAnsi="FangSong" w:eastAsia="FangSong" w:cs="FangSong"/>
          <w:sz w:val="23"/>
          <w:szCs w:val="23"/>
        </w:rPr>
      </w:pPr>
      <w:r>
        <w:rPr>
          <w:rFonts w:ascii="FangSong" w:hAnsi="FangSong" w:eastAsia="FangSong" w:cs="FangSong"/>
          <w:sz w:val="23"/>
          <w:szCs w:val="23"/>
          <w:spacing w:val="18"/>
        </w:rPr>
        <w:t>(1)前探钻孔</w:t>
      </w:r>
    </w:p>
    <w:p>
      <w:pPr>
        <w:pStyle w:val="BodyText"/>
        <w:ind w:right="39"/>
        <w:spacing w:before="175" w:line="460" w:lineRule="exact"/>
        <w:jc w:val="right"/>
        <w:rPr>
          <w:sz w:val="23"/>
          <w:szCs w:val="23"/>
        </w:rPr>
      </w:pPr>
      <w:r>
        <w:rPr>
          <w:sz w:val="23"/>
          <w:szCs w:val="23"/>
          <w:spacing w:val="6"/>
          <w:position w:val="17"/>
        </w:rPr>
        <w:t>按照《防治煤与瓦斯突出细则》第七十七条要求，介绍井巷揭煤前前探岩层、煤层的要求</w:t>
      </w:r>
    </w:p>
    <w:p>
      <w:pPr>
        <w:pStyle w:val="BodyText"/>
        <w:ind w:left="2"/>
        <w:spacing w:before="1" w:line="218" w:lineRule="auto"/>
        <w:rPr>
          <w:sz w:val="23"/>
          <w:szCs w:val="23"/>
        </w:rPr>
      </w:pPr>
      <w:r>
        <w:rPr>
          <w:sz w:val="23"/>
          <w:szCs w:val="23"/>
          <w:spacing w:val="2"/>
        </w:rPr>
        <w:t>及测压钻孔的布置要求。</w:t>
      </w:r>
    </w:p>
    <w:p>
      <w:pPr>
        <w:pStyle w:val="BodyText"/>
        <w:ind w:left="612"/>
        <w:spacing w:before="199" w:line="220" w:lineRule="auto"/>
        <w:rPr>
          <w:sz w:val="23"/>
          <w:szCs w:val="23"/>
        </w:rPr>
      </w:pPr>
      <w:r>
        <w:rPr>
          <w:sz w:val="23"/>
          <w:szCs w:val="23"/>
          <w:spacing w:val="17"/>
        </w:rPr>
        <w:t>(2)物探措施</w:t>
      </w:r>
    </w:p>
    <w:p>
      <w:pPr>
        <w:ind w:left="472"/>
        <w:spacing w:before="162" w:line="471" w:lineRule="exact"/>
        <w:rPr>
          <w:rFonts w:ascii="FangSong" w:hAnsi="FangSong" w:eastAsia="FangSong" w:cs="FangSong"/>
          <w:sz w:val="23"/>
          <w:szCs w:val="23"/>
        </w:rPr>
      </w:pPr>
      <w:r>
        <w:rPr>
          <w:rFonts w:ascii="FangSong" w:hAnsi="FangSong" w:eastAsia="FangSong" w:cs="FangSong"/>
          <w:sz w:val="23"/>
          <w:szCs w:val="23"/>
          <w:spacing w:val="7"/>
          <w:position w:val="18"/>
        </w:rPr>
        <w:t>可选用地震、电磁法等综合物探手段，辅助超前探测前方地质异常。</w:t>
      </w:r>
    </w:p>
    <w:p>
      <w:pPr>
        <w:ind w:left="612"/>
        <w:spacing w:before="1" w:line="221" w:lineRule="auto"/>
        <w:rPr>
          <w:rFonts w:ascii="FangSong" w:hAnsi="FangSong" w:eastAsia="FangSong" w:cs="FangSong"/>
          <w:sz w:val="23"/>
          <w:szCs w:val="23"/>
        </w:rPr>
      </w:pPr>
      <w:r>
        <w:rPr>
          <w:rFonts w:ascii="FangSong" w:hAnsi="FangSong" w:eastAsia="FangSong" w:cs="FangSong"/>
          <w:sz w:val="23"/>
          <w:szCs w:val="23"/>
          <w:spacing w:val="20"/>
        </w:rPr>
        <w:t>(3)瓦斯参数测定</w:t>
      </w:r>
    </w:p>
    <w:p>
      <w:pPr>
        <w:ind w:left="472"/>
        <w:spacing w:before="177" w:line="220" w:lineRule="auto"/>
        <w:rPr>
          <w:rFonts w:ascii="KaiTi" w:hAnsi="KaiTi" w:eastAsia="KaiTi" w:cs="KaiTi"/>
          <w:sz w:val="23"/>
          <w:szCs w:val="23"/>
        </w:rPr>
      </w:pPr>
      <w:r>
        <w:rPr>
          <w:rFonts w:ascii="KaiTi" w:hAnsi="KaiTi" w:eastAsia="KaiTi" w:cs="KaiTi"/>
          <w:sz w:val="23"/>
          <w:szCs w:val="23"/>
          <w:spacing w:val="8"/>
        </w:rPr>
        <w:t>按照《防治煤与瓦斯突出细则》第七十七条</w:t>
      </w:r>
      <w:r>
        <w:rPr>
          <w:rFonts w:ascii="KaiTi" w:hAnsi="KaiTi" w:eastAsia="KaiTi" w:cs="KaiTi"/>
          <w:sz w:val="23"/>
          <w:szCs w:val="23"/>
          <w:spacing w:val="7"/>
        </w:rPr>
        <w:t>要求，介绍瓦斯参数的测定。</w:t>
      </w:r>
    </w:p>
    <w:p>
      <w:pPr>
        <w:ind w:left="475"/>
        <w:spacing w:before="191" w:line="223" w:lineRule="auto"/>
        <w:outlineLvl w:val="0"/>
        <w:rPr>
          <w:rFonts w:ascii="FangSong" w:hAnsi="FangSong" w:eastAsia="FangSong" w:cs="FangSong"/>
          <w:sz w:val="23"/>
          <w:szCs w:val="23"/>
        </w:rPr>
      </w:pPr>
      <w:r>
        <w:rPr>
          <w:rFonts w:ascii="FangSong" w:hAnsi="FangSong" w:eastAsia="FangSong" w:cs="FangSong"/>
          <w:sz w:val="23"/>
          <w:szCs w:val="23"/>
          <w:b/>
          <w:bCs/>
          <w:spacing w:val="-5"/>
        </w:rPr>
        <w:t>2.边探边掘</w:t>
      </w:r>
    </w:p>
    <w:p>
      <w:pPr>
        <w:ind w:left="472"/>
        <w:spacing w:before="177" w:line="220" w:lineRule="auto"/>
        <w:rPr>
          <w:rFonts w:ascii="KaiTi" w:hAnsi="KaiTi" w:eastAsia="KaiTi" w:cs="KaiTi"/>
          <w:sz w:val="23"/>
          <w:szCs w:val="23"/>
        </w:rPr>
      </w:pPr>
      <w:r>
        <w:rPr>
          <w:rFonts w:ascii="KaiTi" w:hAnsi="KaiTi" w:eastAsia="KaiTi" w:cs="KaiTi"/>
          <w:sz w:val="23"/>
          <w:szCs w:val="23"/>
          <w:spacing w:val="8"/>
        </w:rPr>
        <w:t>按照《防治煤与瓦斯突出细则》第七十九条要求，介绍边探边掘措施及安全岩柱留设。</w:t>
      </w:r>
    </w:p>
    <w:p>
      <w:pPr>
        <w:pStyle w:val="BodyText"/>
        <w:ind w:left="475"/>
        <w:spacing w:before="203" w:line="220" w:lineRule="auto"/>
        <w:outlineLvl w:val="0"/>
        <w:rPr>
          <w:sz w:val="23"/>
          <w:szCs w:val="23"/>
        </w:rPr>
      </w:pPr>
      <w:r>
        <w:rPr>
          <w:sz w:val="23"/>
          <w:szCs w:val="23"/>
          <w:b/>
          <w:bCs/>
          <w:spacing w:val="-16"/>
        </w:rPr>
        <w:t>四、</w:t>
      </w:r>
      <w:r>
        <w:rPr>
          <w:sz w:val="23"/>
          <w:szCs w:val="23"/>
          <w:spacing w:val="-32"/>
        </w:rPr>
        <w:t xml:space="preserve"> </w:t>
      </w:r>
      <w:r>
        <w:rPr>
          <w:sz w:val="23"/>
          <w:szCs w:val="23"/>
          <w:b/>
          <w:bCs/>
          <w:spacing w:val="-16"/>
        </w:rPr>
        <w:t>其他要求</w:t>
      </w:r>
    </w:p>
    <w:p>
      <w:pPr>
        <w:pStyle w:val="BodyText"/>
        <w:ind w:right="36"/>
        <w:spacing w:before="177" w:line="450" w:lineRule="exact"/>
        <w:jc w:val="right"/>
        <w:rPr>
          <w:sz w:val="23"/>
          <w:szCs w:val="23"/>
        </w:rPr>
      </w:pPr>
      <w:r>
        <w:rPr>
          <w:sz w:val="23"/>
          <w:szCs w:val="23"/>
          <w:spacing w:val="13"/>
          <w:position w:val="16"/>
        </w:rPr>
        <w:t>按照《防治煤与瓦斯突出细则》第八十二条、八十三条、八</w:t>
      </w:r>
      <w:r>
        <w:rPr>
          <w:sz w:val="23"/>
          <w:szCs w:val="23"/>
          <w:spacing w:val="12"/>
          <w:position w:val="16"/>
        </w:rPr>
        <w:t>十四条要求，介绍厚度小于</w:t>
      </w:r>
    </w:p>
    <w:p>
      <w:pPr>
        <w:pStyle w:val="BodyText"/>
        <w:ind w:left="2"/>
        <w:spacing w:before="1" w:line="218" w:lineRule="auto"/>
        <w:rPr>
          <w:sz w:val="23"/>
          <w:szCs w:val="23"/>
        </w:rPr>
      </w:pPr>
      <w:r>
        <w:rPr>
          <w:sz w:val="23"/>
          <w:szCs w:val="23"/>
          <w:spacing w:val="10"/>
        </w:rPr>
        <w:t>0.3m</w:t>
      </w:r>
      <w:r>
        <w:rPr>
          <w:sz w:val="23"/>
          <w:szCs w:val="23"/>
          <w:spacing w:val="-44"/>
        </w:rPr>
        <w:t xml:space="preserve"> </w:t>
      </w:r>
      <w:r>
        <w:rPr>
          <w:sz w:val="23"/>
          <w:szCs w:val="23"/>
          <w:spacing w:val="10"/>
        </w:rPr>
        <w:t>的突出煤层的揭穿方式、采煤和煤巷</w:t>
      </w:r>
      <w:r>
        <w:rPr>
          <w:sz w:val="23"/>
          <w:szCs w:val="23"/>
          <w:spacing w:val="9"/>
        </w:rPr>
        <w:t>掘进工作面防突设计编制要求及审批程序、确定无</w:t>
      </w:r>
    </w:p>
    <w:p>
      <w:pPr>
        <w:pStyle w:val="BodyText"/>
        <w:ind w:left="2"/>
        <w:spacing w:before="210" w:line="220" w:lineRule="auto"/>
        <w:rPr>
          <w:sz w:val="23"/>
          <w:szCs w:val="23"/>
        </w:rPr>
      </w:pPr>
      <w:r>
        <w:rPr>
          <w:sz w:val="23"/>
          <w:szCs w:val="23"/>
          <w:spacing w:val="4"/>
        </w:rPr>
        <w:t>突出危险工作面的程序。</w:t>
      </w:r>
    </w:p>
    <w:p>
      <w:pPr>
        <w:pStyle w:val="BodyText"/>
        <w:ind w:left="3096"/>
        <w:spacing w:before="113" w:line="533" w:lineRule="exact"/>
        <w:rPr>
          <w:sz w:val="29"/>
          <w:szCs w:val="29"/>
        </w:rPr>
      </w:pPr>
      <w:r>
        <w:rPr>
          <w:sz w:val="29"/>
          <w:szCs w:val="29"/>
          <w:b/>
          <w:bCs/>
          <w:spacing w:val="4"/>
          <w:position w:val="18"/>
        </w:rPr>
        <w:t>第二节</w:t>
      </w:r>
      <w:r>
        <w:rPr>
          <w:sz w:val="29"/>
          <w:szCs w:val="29"/>
          <w:spacing w:val="4"/>
          <w:position w:val="18"/>
        </w:rPr>
        <w:t xml:space="preserve">  </w:t>
      </w:r>
      <w:r>
        <w:rPr>
          <w:sz w:val="29"/>
          <w:szCs w:val="29"/>
          <w:b/>
          <w:bCs/>
          <w:spacing w:val="4"/>
          <w:position w:val="18"/>
        </w:rPr>
        <w:t>工作面突出危险性预测</w:t>
      </w:r>
    </w:p>
    <w:p>
      <w:pPr>
        <w:ind w:left="475"/>
        <w:spacing w:before="1" w:line="222" w:lineRule="auto"/>
        <w:rPr>
          <w:rFonts w:ascii="KaiTi" w:hAnsi="KaiTi" w:eastAsia="KaiTi" w:cs="KaiTi"/>
          <w:sz w:val="23"/>
          <w:szCs w:val="23"/>
        </w:rPr>
      </w:pPr>
      <w:r>
        <w:rPr>
          <w:rFonts w:ascii="KaiTi" w:hAnsi="KaiTi" w:eastAsia="KaiTi" w:cs="KaiTi"/>
          <w:sz w:val="23"/>
          <w:szCs w:val="23"/>
          <w:b/>
          <w:bCs/>
          <w:spacing w:val="7"/>
        </w:rPr>
        <w:t>一、工作面突出危险性的敏感指标、临界值及综合预测</w:t>
      </w:r>
    </w:p>
    <w:p>
      <w:pPr>
        <w:pStyle w:val="BodyText"/>
        <w:ind w:right="40"/>
        <w:spacing w:before="180" w:line="451" w:lineRule="exact"/>
        <w:jc w:val="right"/>
        <w:rPr>
          <w:sz w:val="23"/>
          <w:szCs w:val="23"/>
        </w:rPr>
      </w:pPr>
      <w:r>
        <w:rPr>
          <w:sz w:val="23"/>
          <w:szCs w:val="23"/>
          <w:spacing w:val="6"/>
          <w:position w:val="16"/>
        </w:rPr>
        <w:t>按照《防治煤与瓦斯突出细则》八十五条要求，介绍工作面预测新方法、新指标、研究试</w:t>
      </w:r>
    </w:p>
    <w:p>
      <w:pPr>
        <w:pStyle w:val="BodyText"/>
        <w:ind w:left="2"/>
        <w:spacing w:line="219" w:lineRule="auto"/>
        <w:rPr>
          <w:sz w:val="23"/>
          <w:szCs w:val="23"/>
        </w:rPr>
      </w:pPr>
      <w:r>
        <w:rPr>
          <w:sz w:val="23"/>
          <w:szCs w:val="23"/>
          <w:spacing w:val="9"/>
        </w:rPr>
        <w:t>验的要求及工作面预测敏感指标和临界值的</w:t>
      </w:r>
      <w:r>
        <w:rPr>
          <w:sz w:val="23"/>
          <w:szCs w:val="23"/>
          <w:spacing w:val="8"/>
        </w:rPr>
        <w:t>要求，工作面预测的辅助指标及相关要求。</w:t>
      </w:r>
    </w:p>
    <w:p>
      <w:pPr>
        <w:pStyle w:val="BodyText"/>
        <w:ind w:left="475"/>
        <w:spacing w:before="195" w:line="220" w:lineRule="auto"/>
        <w:outlineLvl w:val="0"/>
        <w:rPr>
          <w:sz w:val="23"/>
          <w:szCs w:val="23"/>
        </w:rPr>
      </w:pPr>
      <w:r>
        <w:rPr>
          <w:sz w:val="23"/>
          <w:szCs w:val="23"/>
          <w:b/>
          <w:bCs/>
          <w:spacing w:val="5"/>
        </w:rPr>
        <w:t>二、井巷揭煤工作面突出危险性预测</w:t>
      </w:r>
    </w:p>
    <w:p>
      <w:pPr>
        <w:ind w:right="50"/>
        <w:spacing w:before="179" w:line="453" w:lineRule="exact"/>
        <w:jc w:val="right"/>
        <w:rPr>
          <w:rFonts w:ascii="KaiTi" w:hAnsi="KaiTi" w:eastAsia="KaiTi" w:cs="KaiTi"/>
          <w:sz w:val="23"/>
          <w:szCs w:val="23"/>
        </w:rPr>
      </w:pPr>
      <w:r>
        <w:rPr>
          <w:rFonts w:ascii="KaiTi" w:hAnsi="KaiTi" w:eastAsia="KaiTi" w:cs="KaiTi"/>
          <w:sz w:val="23"/>
          <w:szCs w:val="23"/>
          <w:spacing w:val="6"/>
          <w:position w:val="16"/>
        </w:rPr>
        <w:t>按照《防治煤与瓦斯突出细则》第八十七条、八十八条要求，分揭煤前、过煤期间按、过</w:t>
      </w:r>
    </w:p>
    <w:p>
      <w:pPr>
        <w:ind w:left="2"/>
        <w:spacing w:line="222" w:lineRule="auto"/>
        <w:rPr>
          <w:rFonts w:ascii="KaiTi" w:hAnsi="KaiTi" w:eastAsia="KaiTi" w:cs="KaiTi"/>
          <w:sz w:val="23"/>
          <w:szCs w:val="23"/>
        </w:rPr>
      </w:pPr>
      <w:r>
        <w:rPr>
          <w:rFonts w:ascii="KaiTi" w:hAnsi="KaiTi" w:eastAsia="KaiTi" w:cs="KaiTi"/>
          <w:sz w:val="23"/>
          <w:szCs w:val="23"/>
          <w:spacing w:val="7"/>
        </w:rPr>
        <w:t>煤后介绍井巷揭煤工作面工作面突出危险性预测方法。</w:t>
      </w:r>
    </w:p>
    <w:p>
      <w:pPr>
        <w:spacing w:line="222" w:lineRule="auto"/>
        <w:sectPr>
          <w:headerReference w:type="default" r:id="rId14"/>
          <w:footerReference w:type="default" r:id="rId22"/>
          <w:pgSz w:w="11900" w:h="16940"/>
          <w:pgMar w:top="934" w:right="1100" w:bottom="872" w:left="1067" w:header="744" w:footer="713" w:gutter="0"/>
        </w:sectPr>
        <w:rPr>
          <w:rFonts w:ascii="KaiTi" w:hAnsi="KaiTi" w:eastAsia="KaiTi" w:cs="KaiTi"/>
          <w:sz w:val="23"/>
          <w:szCs w:val="23"/>
        </w:rPr>
      </w:pPr>
    </w:p>
    <w:p>
      <w:pPr>
        <w:spacing w:line="288" w:lineRule="auto"/>
        <w:rPr>
          <w:rFonts w:ascii="Arial"/>
          <w:sz w:val="21"/>
        </w:rPr>
      </w:pPr>
      <w:r/>
    </w:p>
    <w:p>
      <w:pPr>
        <w:spacing w:line="288" w:lineRule="auto"/>
        <w:rPr>
          <w:rFonts w:ascii="Arial"/>
          <w:sz w:val="21"/>
        </w:rPr>
      </w:pPr>
      <w:r/>
    </w:p>
    <w:p>
      <w:pPr>
        <w:ind w:left="488"/>
        <w:spacing w:before="74" w:line="220" w:lineRule="auto"/>
        <w:outlineLvl w:val="0"/>
        <w:rPr>
          <w:rFonts w:ascii="FangSong" w:hAnsi="FangSong" w:eastAsia="FangSong" w:cs="FangSong"/>
          <w:sz w:val="23"/>
          <w:szCs w:val="23"/>
        </w:rPr>
      </w:pPr>
      <w:r>
        <w:rPr>
          <w:rFonts w:ascii="FangSong" w:hAnsi="FangSong" w:eastAsia="FangSong" w:cs="FangSong"/>
          <w:sz w:val="23"/>
          <w:szCs w:val="23"/>
          <w:b/>
          <w:bCs/>
          <w:spacing w:val="6"/>
        </w:rPr>
        <w:t>三、煤巷据进工作面突出危险性预测</w:t>
      </w:r>
    </w:p>
    <w:p>
      <w:pPr>
        <w:pStyle w:val="BodyText"/>
        <w:ind w:right="30"/>
        <w:spacing w:before="172" w:line="467" w:lineRule="exact"/>
        <w:jc w:val="right"/>
        <w:rPr>
          <w:sz w:val="23"/>
          <w:szCs w:val="23"/>
        </w:rPr>
      </w:pPr>
      <w:r>
        <w:rPr>
          <w:sz w:val="23"/>
          <w:szCs w:val="23"/>
          <w:spacing w:val="6"/>
          <w:position w:val="18"/>
        </w:rPr>
        <w:t>按照《防治煤与瓦斯突出细则》第八十九条、九十条、九十一条、九十二条要求，介绍煤</w:t>
      </w:r>
    </w:p>
    <w:p>
      <w:pPr>
        <w:ind w:left="5"/>
        <w:spacing w:line="220" w:lineRule="auto"/>
        <w:rPr>
          <w:rFonts w:ascii="FangSong" w:hAnsi="FangSong" w:eastAsia="FangSong" w:cs="FangSong"/>
          <w:sz w:val="23"/>
          <w:szCs w:val="23"/>
        </w:rPr>
      </w:pPr>
      <w:r>
        <w:rPr>
          <w:rFonts w:ascii="FangSong" w:hAnsi="FangSong" w:eastAsia="FangSong" w:cs="FangSong"/>
          <w:sz w:val="23"/>
          <w:szCs w:val="23"/>
          <w:spacing w:val="5"/>
        </w:rPr>
        <w:t>巷工作面工作面突出危险性预测方法。</w:t>
      </w:r>
    </w:p>
    <w:p>
      <w:pPr>
        <w:ind w:left="488"/>
        <w:spacing w:before="192" w:line="220" w:lineRule="auto"/>
        <w:outlineLvl w:val="0"/>
        <w:rPr>
          <w:rFonts w:ascii="FangSong" w:hAnsi="FangSong" w:eastAsia="FangSong" w:cs="FangSong"/>
          <w:sz w:val="23"/>
          <w:szCs w:val="23"/>
        </w:rPr>
      </w:pPr>
      <w:r>
        <w:rPr>
          <w:rFonts w:ascii="FangSong" w:hAnsi="FangSong" w:eastAsia="FangSong" w:cs="FangSong"/>
          <w:sz w:val="23"/>
          <w:szCs w:val="23"/>
          <w:b/>
          <w:bCs/>
          <w:spacing w:val="5"/>
        </w:rPr>
        <w:t>四、采煤工作面突出危险性预测</w:t>
      </w:r>
    </w:p>
    <w:p>
      <w:pPr>
        <w:ind w:right="15"/>
        <w:spacing w:before="164" w:line="494" w:lineRule="exact"/>
        <w:jc w:val="right"/>
        <w:rPr>
          <w:rFonts w:ascii="KaiTi" w:hAnsi="KaiTi" w:eastAsia="KaiTi" w:cs="KaiTi"/>
          <w:sz w:val="23"/>
          <w:szCs w:val="23"/>
        </w:rPr>
      </w:pPr>
      <w:r>
        <w:rPr>
          <w:rFonts w:ascii="KaiTi" w:hAnsi="KaiTi" w:eastAsia="KaiTi" w:cs="KaiTi"/>
          <w:sz w:val="23"/>
          <w:szCs w:val="23"/>
          <w:spacing w:val="7"/>
          <w:position w:val="20"/>
        </w:rPr>
        <w:t>按照《防治煤与瓦斯突出细则》第九十三条要求，介绍采煤工作面</w:t>
      </w:r>
      <w:r>
        <w:rPr>
          <w:rFonts w:ascii="KaiTi" w:hAnsi="KaiTi" w:eastAsia="KaiTi" w:cs="KaiTi"/>
          <w:sz w:val="23"/>
          <w:szCs w:val="23"/>
          <w:spacing w:val="6"/>
          <w:position w:val="20"/>
        </w:rPr>
        <w:t>工作面突出危险性预测</w:t>
      </w:r>
    </w:p>
    <w:p>
      <w:pPr>
        <w:ind w:left="5"/>
        <w:spacing w:before="1" w:line="239" w:lineRule="auto"/>
        <w:rPr>
          <w:rFonts w:ascii="KaiTi" w:hAnsi="KaiTi" w:eastAsia="KaiTi" w:cs="KaiTi"/>
          <w:sz w:val="23"/>
          <w:szCs w:val="23"/>
        </w:rPr>
      </w:pPr>
      <w:r>
        <w:rPr>
          <w:rFonts w:ascii="KaiTi" w:hAnsi="KaiTi" w:eastAsia="KaiTi" w:cs="KaiTi"/>
          <w:sz w:val="23"/>
          <w:szCs w:val="23"/>
          <w:spacing w:val="-6"/>
        </w:rPr>
        <w:t>方法。</w:t>
      </w:r>
    </w:p>
    <w:p>
      <w:pPr>
        <w:spacing w:line="249" w:lineRule="auto"/>
        <w:rPr>
          <w:rFonts w:ascii="Arial"/>
          <w:sz w:val="21"/>
        </w:rPr>
      </w:pPr>
      <w:r/>
    </w:p>
    <w:p>
      <w:pPr>
        <w:pStyle w:val="BodyText"/>
        <w:ind w:left="3549"/>
        <w:spacing w:before="94" w:line="219" w:lineRule="auto"/>
        <w:rPr>
          <w:sz w:val="29"/>
          <w:szCs w:val="29"/>
        </w:rPr>
      </w:pPr>
      <w:bookmarkStart w:name="bookmark31" w:id="22"/>
      <w:bookmarkEnd w:id="22"/>
      <w:r>
        <w:rPr>
          <w:sz w:val="29"/>
          <w:szCs w:val="29"/>
          <w:b/>
          <w:bCs/>
          <w:spacing w:val="4"/>
        </w:rPr>
        <w:t>第三节</w:t>
      </w:r>
      <w:r>
        <w:rPr>
          <w:sz w:val="29"/>
          <w:szCs w:val="29"/>
          <w:spacing w:val="4"/>
        </w:rPr>
        <w:t xml:space="preserve">  </w:t>
      </w:r>
      <w:r>
        <w:rPr>
          <w:sz w:val="29"/>
          <w:szCs w:val="29"/>
          <w:b/>
          <w:bCs/>
          <w:spacing w:val="4"/>
        </w:rPr>
        <w:t>工作面防突措施</w:t>
      </w:r>
    </w:p>
    <w:p>
      <w:pPr>
        <w:ind w:right="55"/>
        <w:spacing w:before="143" w:line="480" w:lineRule="exact"/>
        <w:jc w:val="right"/>
        <w:rPr>
          <w:rFonts w:ascii="FangSong" w:hAnsi="FangSong" w:eastAsia="FangSong" w:cs="FangSong"/>
          <w:sz w:val="23"/>
          <w:szCs w:val="23"/>
        </w:rPr>
      </w:pPr>
      <w:r>
        <w:rPr>
          <w:rFonts w:ascii="FangSong" w:hAnsi="FangSong" w:eastAsia="FangSong" w:cs="FangSong"/>
          <w:sz w:val="23"/>
          <w:szCs w:val="23"/>
          <w:spacing w:val="6"/>
          <w:position w:val="19"/>
        </w:rPr>
        <w:t>当工作面突出危险性预测为突出危险工作面时，必须采取工作面</w:t>
      </w:r>
      <w:r>
        <w:rPr>
          <w:rFonts w:ascii="FangSong" w:hAnsi="FangSong" w:eastAsia="FangSong" w:cs="FangSong"/>
          <w:sz w:val="23"/>
          <w:szCs w:val="23"/>
          <w:spacing w:val="5"/>
          <w:position w:val="19"/>
        </w:rPr>
        <w:t>防突措施，直到经措施效</w:t>
      </w:r>
    </w:p>
    <w:p>
      <w:pPr>
        <w:ind w:left="5"/>
        <w:spacing w:line="220" w:lineRule="auto"/>
        <w:rPr>
          <w:rFonts w:ascii="FangSong" w:hAnsi="FangSong" w:eastAsia="FangSong" w:cs="FangSong"/>
          <w:sz w:val="23"/>
          <w:szCs w:val="23"/>
        </w:rPr>
      </w:pPr>
      <w:r>
        <w:rPr>
          <w:rFonts w:ascii="FangSong" w:hAnsi="FangSong" w:eastAsia="FangSong" w:cs="FangSong"/>
          <w:sz w:val="23"/>
          <w:szCs w:val="23"/>
          <w:spacing w:val="3"/>
        </w:rPr>
        <w:t>果检验为无爽出危险工作面。</w:t>
      </w:r>
    </w:p>
    <w:p>
      <w:pPr>
        <w:ind w:left="488"/>
        <w:spacing w:before="193" w:line="220" w:lineRule="auto"/>
        <w:outlineLvl w:val="0"/>
        <w:rPr>
          <w:rFonts w:ascii="FangSong" w:hAnsi="FangSong" w:eastAsia="FangSong" w:cs="FangSong"/>
          <w:sz w:val="23"/>
          <w:szCs w:val="23"/>
        </w:rPr>
      </w:pPr>
      <w:r>
        <w:rPr>
          <w:rFonts w:ascii="FangSong" w:hAnsi="FangSong" w:eastAsia="FangSong" w:cs="FangSong"/>
          <w:sz w:val="23"/>
          <w:szCs w:val="23"/>
          <w:b/>
          <w:bCs/>
          <w:spacing w:val="2"/>
        </w:rPr>
        <w:t>一</w:t>
      </w:r>
      <w:r>
        <w:rPr>
          <w:rFonts w:ascii="FangSong" w:hAnsi="FangSong" w:eastAsia="FangSong" w:cs="FangSong"/>
          <w:sz w:val="23"/>
          <w:szCs w:val="23"/>
          <w:spacing w:val="-52"/>
        </w:rPr>
        <w:t xml:space="preserve"> </w:t>
      </w:r>
      <w:r>
        <w:rPr>
          <w:rFonts w:ascii="FangSong" w:hAnsi="FangSong" w:eastAsia="FangSong" w:cs="FangSong"/>
          <w:sz w:val="23"/>
          <w:szCs w:val="23"/>
          <w:b/>
          <w:bCs/>
          <w:spacing w:val="2"/>
        </w:rPr>
        <w:t>、井巷揭煤工作面防突措施</w:t>
      </w:r>
    </w:p>
    <w:p>
      <w:pPr>
        <w:ind w:left="618"/>
        <w:spacing w:before="166" w:line="220" w:lineRule="auto"/>
        <w:rPr>
          <w:rFonts w:ascii="FangSong" w:hAnsi="FangSong" w:eastAsia="FangSong" w:cs="FangSong"/>
          <w:sz w:val="23"/>
          <w:szCs w:val="23"/>
        </w:rPr>
      </w:pPr>
      <w:r>
        <w:rPr>
          <w:rFonts w:ascii="FangSong" w:hAnsi="FangSong" w:eastAsia="FangSong" w:cs="FangSong"/>
          <w:sz w:val="23"/>
          <w:szCs w:val="23"/>
          <w:b/>
          <w:bCs/>
          <w:spacing w:val="9"/>
        </w:rPr>
        <w:t>(一)揭煤前工作面防突措施的选择：</w:t>
      </w:r>
    </w:p>
    <w:p>
      <w:pPr>
        <w:pStyle w:val="BodyText"/>
        <w:ind w:left="488"/>
        <w:spacing w:before="191" w:line="220" w:lineRule="auto"/>
        <w:outlineLvl w:val="0"/>
        <w:rPr>
          <w:sz w:val="23"/>
          <w:szCs w:val="23"/>
        </w:rPr>
      </w:pPr>
      <w:r>
        <w:rPr>
          <w:sz w:val="23"/>
          <w:szCs w:val="23"/>
          <w:b/>
          <w:bCs/>
          <w:spacing w:val="5"/>
        </w:rPr>
        <w:t>1.超前钻孔预抽瓦斯、超前钻孔排放瓦斯工作面防突措施</w:t>
      </w:r>
    </w:p>
    <w:p>
      <w:pPr>
        <w:pStyle w:val="BodyText"/>
        <w:ind w:right="28"/>
        <w:spacing w:before="187" w:line="447" w:lineRule="exact"/>
        <w:jc w:val="right"/>
        <w:rPr>
          <w:sz w:val="23"/>
          <w:szCs w:val="23"/>
        </w:rPr>
      </w:pPr>
      <w:r>
        <w:rPr>
          <w:sz w:val="23"/>
          <w:szCs w:val="23"/>
          <w:spacing w:val="6"/>
          <w:position w:val="16"/>
        </w:rPr>
        <w:t>按照《防治煤与瓦斯突出细则》第九十六条、九十七条要求，介绍揭煤工作面揭煤前超前</w:t>
      </w:r>
    </w:p>
    <w:p>
      <w:pPr>
        <w:ind w:left="5"/>
        <w:spacing w:line="220" w:lineRule="auto"/>
        <w:rPr>
          <w:rFonts w:ascii="FangSong" w:hAnsi="FangSong" w:eastAsia="FangSong" w:cs="FangSong"/>
          <w:sz w:val="23"/>
          <w:szCs w:val="23"/>
        </w:rPr>
      </w:pPr>
      <w:r>
        <w:rPr>
          <w:rFonts w:ascii="FangSong" w:hAnsi="FangSong" w:eastAsia="FangSong" w:cs="FangSong"/>
          <w:sz w:val="23"/>
          <w:szCs w:val="23"/>
          <w:spacing w:val="8"/>
        </w:rPr>
        <w:t>钻孔工作面防突措施的基本要求，并明确排放、</w:t>
      </w:r>
      <w:r>
        <w:rPr>
          <w:rFonts w:ascii="FangSong" w:hAnsi="FangSong" w:eastAsia="FangSong" w:cs="FangSong"/>
          <w:sz w:val="23"/>
          <w:szCs w:val="23"/>
          <w:spacing w:val="7"/>
        </w:rPr>
        <w:t>抽采时间。</w:t>
      </w:r>
    </w:p>
    <w:p>
      <w:pPr>
        <w:ind w:left="488"/>
        <w:spacing w:before="182" w:line="220" w:lineRule="auto"/>
        <w:outlineLvl w:val="0"/>
        <w:rPr>
          <w:rFonts w:ascii="FangSong" w:hAnsi="FangSong" w:eastAsia="FangSong" w:cs="FangSong"/>
          <w:sz w:val="23"/>
          <w:szCs w:val="23"/>
        </w:rPr>
      </w:pPr>
      <w:r>
        <w:rPr>
          <w:rFonts w:ascii="FangSong" w:hAnsi="FangSong" w:eastAsia="FangSong" w:cs="FangSong"/>
          <w:sz w:val="23"/>
          <w:szCs w:val="23"/>
          <w:b/>
          <w:bCs/>
          <w:spacing w:val="5"/>
        </w:rPr>
        <w:t>2.水力冲孔工作面防突措施</w:t>
      </w:r>
    </w:p>
    <w:p>
      <w:pPr>
        <w:ind w:right="27"/>
        <w:spacing w:before="195" w:line="468" w:lineRule="exact"/>
        <w:jc w:val="right"/>
        <w:rPr>
          <w:rFonts w:ascii="KaiTi" w:hAnsi="KaiTi" w:eastAsia="KaiTi" w:cs="KaiTi"/>
          <w:sz w:val="23"/>
          <w:szCs w:val="23"/>
        </w:rPr>
      </w:pPr>
      <w:r>
        <w:rPr>
          <w:rFonts w:ascii="KaiTi" w:hAnsi="KaiTi" w:eastAsia="KaiTi" w:cs="KaiTi"/>
          <w:sz w:val="23"/>
          <w:szCs w:val="23"/>
          <w:spacing w:val="6"/>
          <w:position w:val="17"/>
        </w:rPr>
        <w:t>按照《防治煤与瓦斯突出细则》第九十六条、九十八条要求，介绍揭煤工作面揭煤前水力</w:t>
      </w:r>
    </w:p>
    <w:p>
      <w:pPr>
        <w:pStyle w:val="BodyText"/>
        <w:ind w:left="5"/>
        <w:spacing w:before="1" w:line="218" w:lineRule="auto"/>
        <w:rPr>
          <w:sz w:val="23"/>
          <w:szCs w:val="23"/>
        </w:rPr>
      </w:pPr>
      <w:r>
        <w:rPr>
          <w:sz w:val="23"/>
          <w:szCs w:val="23"/>
          <w:spacing w:val="4"/>
        </w:rPr>
        <w:t>冲孔工作面防突措施的基本要求。</w:t>
      </w:r>
    </w:p>
    <w:p>
      <w:pPr>
        <w:ind w:left="488"/>
        <w:spacing w:before="191" w:line="220" w:lineRule="auto"/>
        <w:outlineLvl w:val="0"/>
        <w:rPr>
          <w:rFonts w:ascii="FangSong" w:hAnsi="FangSong" w:eastAsia="FangSong" w:cs="FangSong"/>
          <w:sz w:val="23"/>
          <w:szCs w:val="23"/>
        </w:rPr>
      </w:pPr>
      <w:r>
        <w:rPr>
          <w:rFonts w:ascii="FangSong" w:hAnsi="FangSong" w:eastAsia="FangSong" w:cs="FangSong"/>
          <w:sz w:val="23"/>
          <w:szCs w:val="23"/>
          <w:b/>
          <w:bCs/>
          <w:spacing w:val="5"/>
        </w:rPr>
        <w:t>3.金属骨架工作面防突措施</w:t>
      </w:r>
    </w:p>
    <w:p>
      <w:pPr>
        <w:pStyle w:val="BodyText"/>
        <w:ind w:right="27"/>
        <w:spacing w:before="182" w:line="460" w:lineRule="exact"/>
        <w:jc w:val="right"/>
        <w:rPr>
          <w:sz w:val="23"/>
          <w:szCs w:val="23"/>
        </w:rPr>
      </w:pPr>
      <w:r>
        <w:rPr>
          <w:sz w:val="23"/>
          <w:szCs w:val="23"/>
          <w:spacing w:val="6"/>
          <w:position w:val="17"/>
        </w:rPr>
        <w:t>按照《防治煤与瓦斯突出细则》第九十六条、九十九要求，介绍揭煤工作面揭煤前金属骨</w:t>
      </w:r>
    </w:p>
    <w:p>
      <w:pPr>
        <w:pStyle w:val="BodyText"/>
        <w:ind w:left="5"/>
        <w:spacing w:before="1" w:line="218" w:lineRule="auto"/>
        <w:rPr>
          <w:sz w:val="23"/>
          <w:szCs w:val="23"/>
        </w:rPr>
      </w:pPr>
      <w:r>
        <w:rPr>
          <w:sz w:val="23"/>
          <w:szCs w:val="23"/>
          <w:spacing w:val="3"/>
        </w:rPr>
        <w:t>架工作面防突措施的基本要求。</w:t>
      </w:r>
    </w:p>
    <w:p>
      <w:pPr>
        <w:ind w:left="488"/>
        <w:spacing w:before="170" w:line="223" w:lineRule="auto"/>
        <w:outlineLvl w:val="0"/>
        <w:rPr>
          <w:rFonts w:ascii="KaiTi" w:hAnsi="KaiTi" w:eastAsia="KaiTi" w:cs="KaiTi"/>
          <w:sz w:val="23"/>
          <w:szCs w:val="23"/>
        </w:rPr>
      </w:pPr>
      <w:r>
        <w:rPr>
          <w:rFonts w:ascii="KaiTi" w:hAnsi="KaiTi" w:eastAsia="KaiTi" w:cs="KaiTi"/>
          <w:sz w:val="23"/>
          <w:szCs w:val="23"/>
          <w:b/>
          <w:bCs/>
          <w:spacing w:val="4"/>
        </w:rPr>
        <w:t>4.煤体固化工作面防突措施</w:t>
      </w:r>
    </w:p>
    <w:p>
      <w:pPr>
        <w:ind w:right="6"/>
        <w:spacing w:before="186" w:line="470" w:lineRule="exact"/>
        <w:jc w:val="right"/>
        <w:rPr>
          <w:rFonts w:ascii="FangSong" w:hAnsi="FangSong" w:eastAsia="FangSong" w:cs="FangSong"/>
          <w:sz w:val="23"/>
          <w:szCs w:val="23"/>
        </w:rPr>
      </w:pPr>
      <w:r>
        <w:rPr>
          <w:rFonts w:ascii="FangSong" w:hAnsi="FangSong" w:eastAsia="FangSong" w:cs="FangSong"/>
          <w:sz w:val="23"/>
          <w:szCs w:val="23"/>
          <w:spacing w:val="7"/>
          <w:position w:val="18"/>
        </w:rPr>
        <w:t>按照《防治煤与瓦斯突出细则》九十六条、第一百条要求，介绍揭煤工作面揭煤前煤体固</w:t>
      </w:r>
    </w:p>
    <w:p>
      <w:pPr>
        <w:ind w:left="5"/>
        <w:spacing w:line="220" w:lineRule="auto"/>
        <w:rPr>
          <w:rFonts w:ascii="FangSong" w:hAnsi="FangSong" w:eastAsia="FangSong" w:cs="FangSong"/>
          <w:sz w:val="23"/>
          <w:szCs w:val="23"/>
        </w:rPr>
      </w:pPr>
      <w:r>
        <w:rPr>
          <w:rFonts w:ascii="FangSong" w:hAnsi="FangSong" w:eastAsia="FangSong" w:cs="FangSong"/>
          <w:sz w:val="23"/>
          <w:szCs w:val="23"/>
          <w:spacing w:val="3"/>
        </w:rPr>
        <w:t>化工作面防突措施的基本要求。</w:t>
      </w:r>
    </w:p>
    <w:p>
      <w:pPr>
        <w:pStyle w:val="BodyText"/>
        <w:ind w:left="618"/>
        <w:spacing w:before="188" w:line="219" w:lineRule="auto"/>
        <w:rPr>
          <w:sz w:val="23"/>
          <w:szCs w:val="23"/>
        </w:rPr>
      </w:pPr>
      <w:r>
        <w:rPr>
          <w:sz w:val="23"/>
          <w:szCs w:val="23"/>
          <w:b/>
          <w:bCs/>
          <w:spacing w:val="13"/>
        </w:rPr>
        <w:t>(二)过煤据进期问超前钻孔工作面防突措施</w:t>
      </w:r>
    </w:p>
    <w:p>
      <w:pPr>
        <w:ind w:right="28"/>
        <w:spacing w:before="181" w:line="468" w:lineRule="exact"/>
        <w:jc w:val="right"/>
        <w:rPr>
          <w:rFonts w:ascii="KaiTi" w:hAnsi="KaiTi" w:eastAsia="KaiTi" w:cs="KaiTi"/>
          <w:sz w:val="23"/>
          <w:szCs w:val="23"/>
        </w:rPr>
      </w:pPr>
      <w:r>
        <w:rPr>
          <w:rFonts w:ascii="KaiTi" w:hAnsi="KaiTi" w:eastAsia="KaiTi" w:cs="KaiTi"/>
          <w:sz w:val="23"/>
          <w:szCs w:val="23"/>
          <w:spacing w:val="6"/>
          <w:position w:val="17"/>
        </w:rPr>
        <w:t>按照《防治煤与瓦斯突出细则》第一百零四条要求，介绍揭煤工作面过煤期间超前钻孔工</w:t>
      </w:r>
    </w:p>
    <w:p>
      <w:pPr>
        <w:pStyle w:val="BodyText"/>
        <w:ind w:left="5"/>
        <w:spacing w:before="1" w:line="218" w:lineRule="auto"/>
        <w:rPr>
          <w:sz w:val="23"/>
          <w:szCs w:val="23"/>
        </w:rPr>
      </w:pPr>
      <w:r>
        <w:rPr>
          <w:sz w:val="23"/>
          <w:szCs w:val="23"/>
          <w:spacing w:val="7"/>
        </w:rPr>
        <w:t>作面防突措施的基本要求，并明确排放、抽采时间。</w:t>
      </w:r>
    </w:p>
    <w:p>
      <w:pPr>
        <w:ind w:left="488"/>
        <w:spacing w:before="190" w:line="466" w:lineRule="exact"/>
        <w:rPr>
          <w:rFonts w:ascii="FangSong" w:hAnsi="FangSong" w:eastAsia="FangSong" w:cs="FangSong"/>
          <w:sz w:val="23"/>
          <w:szCs w:val="23"/>
        </w:rPr>
      </w:pPr>
      <w:r>
        <w:rPr>
          <w:rFonts w:ascii="FangSong" w:hAnsi="FangSong" w:eastAsia="FangSong" w:cs="FangSong"/>
          <w:sz w:val="23"/>
          <w:szCs w:val="23"/>
          <w:b/>
          <w:bCs/>
          <w:spacing w:val="6"/>
          <w:position w:val="17"/>
        </w:rPr>
        <w:t>二、煤巷据进工作面防突措施</w:t>
      </w:r>
    </w:p>
    <w:p>
      <w:pPr>
        <w:pStyle w:val="BodyText"/>
        <w:ind w:left="488"/>
        <w:spacing w:line="220" w:lineRule="auto"/>
        <w:rPr>
          <w:sz w:val="23"/>
          <w:szCs w:val="23"/>
        </w:rPr>
      </w:pPr>
      <w:r>
        <w:rPr>
          <w:sz w:val="23"/>
          <w:szCs w:val="23"/>
          <w:b/>
          <w:bCs/>
          <w:spacing w:val="3"/>
        </w:rPr>
        <w:t>1.超前钻孔工作面防突措施</w:t>
      </w:r>
    </w:p>
    <w:p>
      <w:pPr>
        <w:pStyle w:val="BodyText"/>
        <w:ind w:right="30"/>
        <w:spacing w:before="167" w:line="470" w:lineRule="exact"/>
        <w:jc w:val="right"/>
        <w:rPr>
          <w:sz w:val="23"/>
          <w:szCs w:val="23"/>
        </w:rPr>
      </w:pPr>
      <w:r>
        <w:rPr>
          <w:sz w:val="23"/>
          <w:szCs w:val="23"/>
          <w:spacing w:val="6"/>
          <w:position w:val="18"/>
        </w:rPr>
        <w:t>按照《防治煤与瓦斯突出细则》第一百零四条要求，介绍煤巷掘进工作面超前钻孔工作面</w:t>
      </w:r>
    </w:p>
    <w:p>
      <w:pPr>
        <w:pStyle w:val="BodyText"/>
        <w:ind w:left="5"/>
        <w:spacing w:before="1" w:line="218" w:lineRule="auto"/>
        <w:rPr>
          <w:sz w:val="23"/>
          <w:szCs w:val="23"/>
        </w:rPr>
      </w:pPr>
      <w:r>
        <w:rPr>
          <w:sz w:val="23"/>
          <w:szCs w:val="23"/>
          <w:spacing w:val="5"/>
        </w:rPr>
        <w:t>防突措施的基本要求，并明确排放、抽采时间。</w:t>
      </w:r>
    </w:p>
    <w:p>
      <w:pPr>
        <w:spacing w:line="218" w:lineRule="auto"/>
        <w:sectPr>
          <w:headerReference w:type="default" r:id="rId23"/>
          <w:footerReference w:type="default" r:id="rId24"/>
          <w:pgSz w:w="11900" w:h="16940"/>
          <w:pgMar w:top="937" w:right="1100" w:bottom="872" w:left="1064" w:header="747" w:footer="713" w:gutter="0"/>
        </w:sectPr>
        <w:rPr>
          <w:sz w:val="23"/>
          <w:szCs w:val="23"/>
        </w:rPr>
      </w:pPr>
    </w:p>
    <w:p>
      <w:pPr>
        <w:spacing w:line="282" w:lineRule="auto"/>
        <w:rPr>
          <w:rFonts w:ascii="Arial"/>
          <w:sz w:val="21"/>
        </w:rPr>
      </w:pPr>
      <w:r/>
    </w:p>
    <w:p>
      <w:pPr>
        <w:spacing w:line="283" w:lineRule="auto"/>
        <w:rPr>
          <w:rFonts w:ascii="Arial"/>
          <w:sz w:val="21"/>
        </w:rPr>
      </w:pPr>
      <w:r/>
    </w:p>
    <w:p>
      <w:pPr>
        <w:ind w:left="478"/>
        <w:spacing w:before="78" w:line="221" w:lineRule="auto"/>
        <w:outlineLvl w:val="0"/>
        <w:rPr>
          <w:rFonts w:ascii="SimHei" w:hAnsi="SimHei" w:eastAsia="SimHei" w:cs="SimHei"/>
          <w:sz w:val="24"/>
          <w:szCs w:val="24"/>
        </w:rPr>
      </w:pPr>
      <w:r>
        <w:rPr>
          <w:rFonts w:ascii="SimHei" w:hAnsi="SimHei" w:eastAsia="SimHei" w:cs="SimHei"/>
          <w:sz w:val="24"/>
          <w:szCs w:val="24"/>
          <w:b/>
          <w:bCs/>
          <w:spacing w:val="-6"/>
        </w:rPr>
        <w:t>2.松动爆破工作面防突措施</w:t>
      </w:r>
    </w:p>
    <w:p>
      <w:pPr>
        <w:pStyle w:val="BodyText"/>
        <w:ind w:right="36"/>
        <w:spacing w:before="166" w:line="451" w:lineRule="exact"/>
        <w:jc w:val="right"/>
        <w:rPr>
          <w:sz w:val="24"/>
          <w:szCs w:val="24"/>
        </w:rPr>
      </w:pPr>
      <w:r>
        <w:rPr>
          <w:sz w:val="24"/>
          <w:szCs w:val="24"/>
          <w:spacing w:val="-4"/>
          <w:position w:val="15"/>
        </w:rPr>
        <w:t>按照《防治煤与瓦斯突出细则》第一百零五条要求，介绍煤巷掘进工作面松动爆破工作面</w:t>
      </w:r>
    </w:p>
    <w:p>
      <w:pPr>
        <w:pStyle w:val="BodyText"/>
        <w:ind w:left="5"/>
        <w:spacing w:line="218" w:lineRule="auto"/>
        <w:rPr>
          <w:sz w:val="24"/>
          <w:szCs w:val="24"/>
        </w:rPr>
      </w:pPr>
      <w:r>
        <w:rPr>
          <w:sz w:val="24"/>
          <w:szCs w:val="24"/>
          <w:spacing w:val="-8"/>
        </w:rPr>
        <w:t>防突措施的基本要求。</w:t>
      </w:r>
    </w:p>
    <w:p>
      <w:pPr>
        <w:pStyle w:val="BodyText"/>
        <w:ind w:left="478"/>
        <w:spacing w:before="193" w:line="219" w:lineRule="auto"/>
        <w:outlineLvl w:val="0"/>
        <w:rPr>
          <w:sz w:val="24"/>
          <w:szCs w:val="24"/>
        </w:rPr>
      </w:pPr>
      <w:r>
        <w:rPr>
          <w:sz w:val="24"/>
          <w:szCs w:val="24"/>
          <w:b/>
          <w:bCs/>
          <w:spacing w:val="-7"/>
        </w:rPr>
        <w:t>3.水力疏松工作面防突措施</w:t>
      </w:r>
    </w:p>
    <w:p>
      <w:pPr>
        <w:pStyle w:val="BodyText"/>
        <w:ind w:right="36"/>
        <w:spacing w:before="167" w:line="460" w:lineRule="exact"/>
        <w:jc w:val="right"/>
        <w:rPr>
          <w:sz w:val="24"/>
          <w:szCs w:val="24"/>
        </w:rPr>
      </w:pPr>
      <w:r>
        <w:rPr>
          <w:sz w:val="24"/>
          <w:szCs w:val="24"/>
          <w:spacing w:val="-4"/>
          <w:position w:val="16"/>
        </w:rPr>
        <w:t>按照《防治煤与瓦斯突出细则》第一百零六条要求，介绍煤巷掘进工作面水力疏松工作面</w:t>
      </w:r>
    </w:p>
    <w:p>
      <w:pPr>
        <w:pStyle w:val="BodyText"/>
        <w:ind w:left="5"/>
        <w:spacing w:before="1" w:line="218" w:lineRule="auto"/>
        <w:rPr>
          <w:sz w:val="24"/>
          <w:szCs w:val="24"/>
        </w:rPr>
      </w:pPr>
      <w:r>
        <w:rPr>
          <w:sz w:val="24"/>
          <w:szCs w:val="24"/>
          <w:spacing w:val="-8"/>
        </w:rPr>
        <w:t>防突措施的基本要求。</w:t>
      </w:r>
    </w:p>
    <w:p>
      <w:pPr>
        <w:ind w:left="478"/>
        <w:spacing w:before="179" w:line="220" w:lineRule="auto"/>
        <w:outlineLvl w:val="0"/>
        <w:rPr>
          <w:rFonts w:ascii="FangSong" w:hAnsi="FangSong" w:eastAsia="FangSong" w:cs="FangSong"/>
          <w:sz w:val="24"/>
          <w:szCs w:val="24"/>
        </w:rPr>
      </w:pPr>
      <w:r>
        <w:rPr>
          <w:rFonts w:ascii="FangSong" w:hAnsi="FangSong" w:eastAsia="FangSong" w:cs="FangSong"/>
          <w:sz w:val="24"/>
          <w:szCs w:val="24"/>
          <w:b/>
          <w:bCs/>
          <w:spacing w:val="-4"/>
        </w:rPr>
        <w:t>4.前探支架工作面防突措施</w:t>
      </w:r>
    </w:p>
    <w:p>
      <w:pPr>
        <w:pStyle w:val="BodyText"/>
        <w:ind w:right="36"/>
        <w:spacing w:before="171" w:line="460" w:lineRule="exact"/>
        <w:jc w:val="right"/>
        <w:rPr>
          <w:sz w:val="24"/>
          <w:szCs w:val="24"/>
        </w:rPr>
      </w:pPr>
      <w:r>
        <w:rPr>
          <w:sz w:val="24"/>
          <w:szCs w:val="24"/>
          <w:spacing w:val="-4"/>
          <w:position w:val="16"/>
        </w:rPr>
        <w:t>按照《防治煤与瓦斯突出细则》第一百零七条要求，介绍煤巷掘进工作面前探支架工作面</w:t>
      </w:r>
    </w:p>
    <w:p>
      <w:pPr>
        <w:pStyle w:val="BodyText"/>
        <w:ind w:left="5"/>
        <w:spacing w:before="1" w:line="218" w:lineRule="auto"/>
        <w:rPr>
          <w:sz w:val="24"/>
          <w:szCs w:val="24"/>
        </w:rPr>
      </w:pPr>
      <w:r>
        <w:rPr>
          <w:sz w:val="24"/>
          <w:szCs w:val="24"/>
          <w:spacing w:val="-8"/>
        </w:rPr>
        <w:t>防突措施的基本要求。</w:t>
      </w:r>
    </w:p>
    <w:p>
      <w:pPr>
        <w:pStyle w:val="BodyText"/>
        <w:ind w:left="478"/>
        <w:spacing w:before="181" w:line="219" w:lineRule="auto"/>
        <w:rPr>
          <w:sz w:val="24"/>
          <w:szCs w:val="24"/>
        </w:rPr>
      </w:pPr>
      <w:r>
        <w:rPr>
          <w:sz w:val="24"/>
          <w:szCs w:val="24"/>
          <w:b/>
          <w:bCs/>
          <w:spacing w:val="-10"/>
        </w:rPr>
        <w:t>三、采煤工作面防突措施</w:t>
      </w:r>
    </w:p>
    <w:p>
      <w:pPr>
        <w:ind w:left="478"/>
        <w:spacing w:before="162" w:line="220" w:lineRule="auto"/>
        <w:rPr>
          <w:rFonts w:ascii="FangSong" w:hAnsi="FangSong" w:eastAsia="FangSong" w:cs="FangSong"/>
          <w:sz w:val="24"/>
          <w:szCs w:val="24"/>
        </w:rPr>
      </w:pPr>
      <w:r>
        <w:rPr>
          <w:rFonts w:ascii="FangSong" w:hAnsi="FangSong" w:eastAsia="FangSong" w:cs="FangSong"/>
          <w:sz w:val="24"/>
          <w:szCs w:val="24"/>
          <w:b/>
          <w:bCs/>
          <w:spacing w:val="-6"/>
        </w:rPr>
        <w:t>1.超前钻孔工作面防突措施</w:t>
      </w:r>
    </w:p>
    <w:p>
      <w:pPr>
        <w:ind w:right="25"/>
        <w:spacing w:before="158" w:line="494" w:lineRule="exact"/>
        <w:jc w:val="right"/>
        <w:rPr>
          <w:rFonts w:ascii="FangSong" w:hAnsi="FangSong" w:eastAsia="FangSong" w:cs="FangSong"/>
          <w:sz w:val="24"/>
          <w:szCs w:val="24"/>
        </w:rPr>
      </w:pPr>
      <w:r>
        <w:rPr>
          <w:rFonts w:ascii="FangSong" w:hAnsi="FangSong" w:eastAsia="FangSong" w:cs="FangSong"/>
          <w:sz w:val="24"/>
          <w:szCs w:val="24"/>
          <w:spacing w:val="-3"/>
          <w:position w:val="19"/>
        </w:rPr>
        <w:t>按照《防治煤与瓦斯突出细则》第一百零九条要求，介绍采煤工作</w:t>
      </w:r>
      <w:r>
        <w:rPr>
          <w:rFonts w:ascii="FangSong" w:hAnsi="FangSong" w:eastAsia="FangSong" w:cs="FangSong"/>
          <w:sz w:val="24"/>
          <w:szCs w:val="24"/>
          <w:spacing w:val="-4"/>
          <w:position w:val="19"/>
        </w:rPr>
        <w:t>面超前钻孔工作面防突</w:t>
      </w:r>
    </w:p>
    <w:p>
      <w:pPr>
        <w:pStyle w:val="BodyText"/>
        <w:ind w:left="5"/>
        <w:spacing w:line="218" w:lineRule="auto"/>
        <w:rPr>
          <w:sz w:val="24"/>
          <w:szCs w:val="24"/>
        </w:rPr>
      </w:pPr>
      <w:r>
        <w:rPr>
          <w:sz w:val="24"/>
          <w:szCs w:val="24"/>
          <w:spacing w:val="-3"/>
        </w:rPr>
        <w:t>措施的基本要求，并明确排放、抽采时间。</w:t>
      </w:r>
    </w:p>
    <w:p>
      <w:pPr>
        <w:ind w:left="478"/>
        <w:spacing w:before="159" w:line="220" w:lineRule="auto"/>
        <w:outlineLvl w:val="0"/>
        <w:rPr>
          <w:rFonts w:ascii="FangSong" w:hAnsi="FangSong" w:eastAsia="FangSong" w:cs="FangSong"/>
          <w:sz w:val="24"/>
          <w:szCs w:val="24"/>
        </w:rPr>
      </w:pPr>
      <w:r>
        <w:rPr>
          <w:rFonts w:ascii="FangSong" w:hAnsi="FangSong" w:eastAsia="FangSong" w:cs="FangSong"/>
          <w:sz w:val="24"/>
          <w:szCs w:val="24"/>
          <w:b/>
          <w:bCs/>
          <w:spacing w:val="-4"/>
        </w:rPr>
        <w:t>2.松动爆破工作面防突措施</w:t>
      </w:r>
    </w:p>
    <w:p>
      <w:pPr>
        <w:pStyle w:val="BodyText"/>
        <w:ind w:right="30"/>
        <w:spacing w:before="170" w:line="481" w:lineRule="exact"/>
        <w:jc w:val="right"/>
        <w:rPr>
          <w:sz w:val="24"/>
          <w:szCs w:val="24"/>
        </w:rPr>
      </w:pPr>
      <w:r>
        <w:rPr>
          <w:sz w:val="24"/>
          <w:szCs w:val="24"/>
          <w:spacing w:val="-3"/>
          <w:position w:val="18"/>
        </w:rPr>
        <w:t>按照《防治煤与瓦斯突出细则》第一百一十条要求，介</w:t>
      </w:r>
      <w:r>
        <w:rPr>
          <w:sz w:val="24"/>
          <w:szCs w:val="24"/>
          <w:spacing w:val="-4"/>
          <w:position w:val="18"/>
        </w:rPr>
        <w:t>绍采煤工作面松动爆破工作面防突</w:t>
      </w:r>
    </w:p>
    <w:p>
      <w:pPr>
        <w:pStyle w:val="BodyText"/>
        <w:ind w:left="5"/>
        <w:spacing w:before="1" w:line="218" w:lineRule="auto"/>
        <w:rPr>
          <w:sz w:val="24"/>
          <w:szCs w:val="24"/>
        </w:rPr>
      </w:pPr>
      <w:r>
        <w:rPr>
          <w:sz w:val="24"/>
          <w:szCs w:val="24"/>
          <w:spacing w:val="-8"/>
        </w:rPr>
        <w:t>措施的基本要求。</w:t>
      </w:r>
    </w:p>
    <w:p>
      <w:pPr>
        <w:pStyle w:val="BodyText"/>
        <w:ind w:left="478"/>
        <w:spacing w:before="163" w:line="219" w:lineRule="auto"/>
        <w:outlineLvl w:val="0"/>
        <w:rPr>
          <w:sz w:val="24"/>
          <w:szCs w:val="24"/>
        </w:rPr>
      </w:pPr>
      <w:r>
        <w:rPr>
          <w:sz w:val="24"/>
          <w:szCs w:val="24"/>
          <w:b/>
          <w:bCs/>
          <w:spacing w:val="-7"/>
        </w:rPr>
        <w:t>3.注水涅润煤体工作面防突措施</w:t>
      </w:r>
    </w:p>
    <w:p>
      <w:pPr>
        <w:pStyle w:val="BodyText"/>
        <w:ind w:right="31"/>
        <w:spacing w:before="178" w:line="470" w:lineRule="exact"/>
        <w:jc w:val="right"/>
        <w:rPr>
          <w:sz w:val="24"/>
          <w:szCs w:val="24"/>
        </w:rPr>
      </w:pPr>
      <w:r>
        <w:rPr>
          <w:sz w:val="24"/>
          <w:szCs w:val="24"/>
          <w:spacing w:val="-3"/>
          <w:position w:val="17"/>
        </w:rPr>
        <w:t>按照《防治煤与瓦斯突出细则》第一百一十一条要求</w:t>
      </w:r>
      <w:r>
        <w:rPr>
          <w:sz w:val="24"/>
          <w:szCs w:val="24"/>
          <w:spacing w:val="-4"/>
          <w:position w:val="17"/>
        </w:rPr>
        <w:t>，介绍采煤工作面注水湿润煤体工作</w:t>
      </w:r>
    </w:p>
    <w:p>
      <w:pPr>
        <w:pStyle w:val="BodyText"/>
        <w:ind w:left="5"/>
        <w:spacing w:before="1" w:line="218" w:lineRule="auto"/>
        <w:rPr>
          <w:sz w:val="24"/>
          <w:szCs w:val="24"/>
        </w:rPr>
      </w:pPr>
      <w:r>
        <w:rPr>
          <w:sz w:val="24"/>
          <w:szCs w:val="24"/>
          <w:spacing w:val="-7"/>
        </w:rPr>
        <w:t>面防突措施的基本要求。</w:t>
      </w:r>
    </w:p>
    <w:p>
      <w:pPr>
        <w:pStyle w:val="BodyText"/>
        <w:ind w:left="2939"/>
        <w:spacing w:before="135" w:line="219" w:lineRule="auto"/>
        <w:rPr>
          <w:sz w:val="29"/>
          <w:szCs w:val="29"/>
        </w:rPr>
      </w:pPr>
      <w:r>
        <w:rPr>
          <w:sz w:val="29"/>
          <w:szCs w:val="29"/>
          <w:b/>
          <w:bCs/>
          <w:spacing w:val="4"/>
        </w:rPr>
        <w:t>第四节</w:t>
      </w:r>
      <w:r>
        <w:rPr>
          <w:sz w:val="29"/>
          <w:szCs w:val="29"/>
          <w:spacing w:val="4"/>
        </w:rPr>
        <w:t xml:space="preserve">  </w:t>
      </w:r>
      <w:r>
        <w:rPr>
          <w:sz w:val="29"/>
          <w:szCs w:val="29"/>
          <w:b/>
          <w:bCs/>
          <w:spacing w:val="4"/>
        </w:rPr>
        <w:t>工作面防突措施效果检验</w:t>
      </w:r>
    </w:p>
    <w:p>
      <w:pPr>
        <w:ind w:left="475"/>
        <w:spacing w:before="143" w:line="220" w:lineRule="auto"/>
        <w:rPr>
          <w:rFonts w:ascii="FangSong" w:hAnsi="FangSong" w:eastAsia="FangSong" w:cs="FangSong"/>
          <w:sz w:val="24"/>
          <w:szCs w:val="24"/>
        </w:rPr>
      </w:pPr>
      <w:r>
        <w:rPr>
          <w:rFonts w:ascii="FangSong" w:hAnsi="FangSong" w:eastAsia="FangSong" w:cs="FangSong"/>
          <w:sz w:val="24"/>
          <w:szCs w:val="24"/>
          <w:spacing w:val="-1"/>
        </w:rPr>
        <w:t>一、工作面防突措施效果检验的前提条件及布孔要求</w:t>
      </w:r>
    </w:p>
    <w:p>
      <w:pPr>
        <w:spacing w:line="273" w:lineRule="auto"/>
        <w:rPr>
          <w:rFonts w:ascii="Arial"/>
          <w:sz w:val="21"/>
        </w:rPr>
      </w:pPr>
      <w:r/>
    </w:p>
    <w:p>
      <w:pPr>
        <w:spacing w:line="274" w:lineRule="auto"/>
        <w:rPr>
          <w:rFonts w:ascii="Arial"/>
          <w:sz w:val="21"/>
        </w:rPr>
      </w:pPr>
      <w:r/>
    </w:p>
    <w:p>
      <w:pPr>
        <w:ind w:right="35"/>
        <w:spacing w:before="79" w:line="465" w:lineRule="exact"/>
        <w:jc w:val="right"/>
        <w:rPr>
          <w:rFonts w:ascii="KaiTi" w:hAnsi="KaiTi" w:eastAsia="KaiTi" w:cs="KaiTi"/>
          <w:sz w:val="24"/>
          <w:szCs w:val="24"/>
        </w:rPr>
      </w:pPr>
      <w:r>
        <w:rPr>
          <w:rFonts w:ascii="KaiTi" w:hAnsi="KaiTi" w:eastAsia="KaiTi" w:cs="KaiTi"/>
          <w:sz w:val="24"/>
          <w:szCs w:val="24"/>
          <w:spacing w:val="-3"/>
          <w:position w:val="16"/>
        </w:rPr>
        <w:t>按照《防治煤与瓦斯突出细则》第一百一十</w:t>
      </w:r>
      <w:r>
        <w:rPr>
          <w:rFonts w:ascii="KaiTi" w:hAnsi="KaiTi" w:eastAsia="KaiTi" w:cs="KaiTi"/>
          <w:sz w:val="24"/>
          <w:szCs w:val="24"/>
          <w:spacing w:val="-4"/>
          <w:position w:val="16"/>
        </w:rPr>
        <w:t>二条要求，介绍工作面防突措施效果检验的前</w:t>
      </w:r>
    </w:p>
    <w:p>
      <w:pPr>
        <w:ind w:left="5"/>
        <w:spacing w:before="1" w:line="224" w:lineRule="auto"/>
        <w:rPr>
          <w:rFonts w:ascii="KaiTi" w:hAnsi="KaiTi" w:eastAsia="KaiTi" w:cs="KaiTi"/>
          <w:sz w:val="24"/>
          <w:szCs w:val="24"/>
        </w:rPr>
      </w:pPr>
      <w:r>
        <w:rPr>
          <w:rFonts w:ascii="KaiTi" w:hAnsi="KaiTi" w:eastAsia="KaiTi" w:cs="KaiTi"/>
          <w:sz w:val="24"/>
          <w:szCs w:val="24"/>
          <w:spacing w:val="-3"/>
        </w:rPr>
        <w:t>提条件及检验钻孔的布置要求</w:t>
      </w:r>
    </w:p>
    <w:p>
      <w:pPr>
        <w:ind w:left="475"/>
        <w:spacing w:before="187" w:line="220" w:lineRule="auto"/>
        <w:rPr>
          <w:rFonts w:ascii="FangSong" w:hAnsi="FangSong" w:eastAsia="FangSong" w:cs="FangSong"/>
          <w:sz w:val="24"/>
          <w:szCs w:val="24"/>
        </w:rPr>
      </w:pPr>
      <w:r>
        <w:rPr>
          <w:rFonts w:ascii="FangSong" w:hAnsi="FangSong" w:eastAsia="FangSong" w:cs="FangSong"/>
          <w:sz w:val="24"/>
          <w:szCs w:val="24"/>
          <w:spacing w:val="-3"/>
        </w:rPr>
        <w:t>二、井巷揭煤工作面防突措施效果检验</w:t>
      </w:r>
    </w:p>
    <w:p>
      <w:pPr>
        <w:pStyle w:val="BodyText"/>
        <w:ind w:right="27"/>
        <w:spacing w:before="158" w:line="471" w:lineRule="exact"/>
        <w:jc w:val="right"/>
        <w:rPr>
          <w:sz w:val="24"/>
          <w:szCs w:val="24"/>
        </w:rPr>
      </w:pPr>
      <w:r>
        <w:rPr>
          <w:sz w:val="24"/>
          <w:szCs w:val="24"/>
          <w:spacing w:val="-3"/>
          <w:position w:val="17"/>
        </w:rPr>
        <w:t>按照《防治煤与瓦斯突出细则》第一百一十三条要求，分揭煤</w:t>
      </w:r>
      <w:r>
        <w:rPr>
          <w:sz w:val="24"/>
          <w:szCs w:val="24"/>
          <w:spacing w:val="-4"/>
          <w:position w:val="17"/>
        </w:rPr>
        <w:t>前、过煤期间、过煤后介绍</w:t>
      </w:r>
    </w:p>
    <w:p>
      <w:pPr>
        <w:pStyle w:val="BodyText"/>
        <w:ind w:left="5"/>
        <w:spacing w:line="219" w:lineRule="auto"/>
        <w:rPr>
          <w:sz w:val="24"/>
          <w:szCs w:val="24"/>
        </w:rPr>
      </w:pPr>
      <w:r>
        <w:rPr>
          <w:sz w:val="24"/>
          <w:szCs w:val="24"/>
          <w:spacing w:val="-4"/>
        </w:rPr>
        <w:t>井巷揭煤掘进工作面防突措施效果检验的方法。</w:t>
      </w:r>
    </w:p>
    <w:p>
      <w:pPr>
        <w:pStyle w:val="BodyText"/>
        <w:ind w:left="478"/>
        <w:spacing w:before="192" w:line="219" w:lineRule="auto"/>
        <w:outlineLvl w:val="0"/>
        <w:rPr>
          <w:sz w:val="24"/>
          <w:szCs w:val="24"/>
        </w:rPr>
      </w:pPr>
      <w:r>
        <w:rPr>
          <w:sz w:val="24"/>
          <w:szCs w:val="24"/>
          <w:b/>
          <w:bCs/>
          <w:spacing w:val="-7"/>
        </w:rPr>
        <w:t>三、煤巷掘进工作面防突措施效果检验</w:t>
      </w:r>
    </w:p>
    <w:p>
      <w:pPr>
        <w:pStyle w:val="BodyText"/>
        <w:ind w:right="36"/>
        <w:spacing w:before="144" w:line="471" w:lineRule="exact"/>
        <w:jc w:val="right"/>
        <w:rPr>
          <w:sz w:val="24"/>
          <w:szCs w:val="24"/>
        </w:rPr>
      </w:pPr>
      <w:r>
        <w:rPr>
          <w:sz w:val="24"/>
          <w:szCs w:val="24"/>
          <w:b/>
          <w:bCs/>
          <w:spacing w:val="-6"/>
          <w:position w:val="17"/>
        </w:rPr>
        <w:t>按照《防治煤与瓦斯突出细则》第一百一十四条要求，介绍煤巷掘进工作面防</w:t>
      </w:r>
      <w:r>
        <w:rPr>
          <w:sz w:val="24"/>
          <w:szCs w:val="24"/>
          <w:b/>
          <w:bCs/>
          <w:spacing w:val="-7"/>
          <w:position w:val="17"/>
        </w:rPr>
        <w:t>突措施效果</w:t>
      </w:r>
    </w:p>
    <w:p>
      <w:pPr>
        <w:pStyle w:val="BodyText"/>
        <w:ind w:left="8"/>
        <w:spacing w:line="219" w:lineRule="auto"/>
        <w:rPr>
          <w:sz w:val="24"/>
          <w:szCs w:val="24"/>
        </w:rPr>
      </w:pPr>
      <w:r>
        <w:rPr>
          <w:sz w:val="24"/>
          <w:szCs w:val="24"/>
          <w:b/>
          <w:bCs/>
          <w:spacing w:val="-14"/>
        </w:rPr>
        <w:t>检验的方法。</w:t>
      </w:r>
    </w:p>
    <w:p>
      <w:pPr>
        <w:spacing w:line="219" w:lineRule="auto"/>
        <w:sectPr>
          <w:footerReference w:type="default" r:id="rId25"/>
          <w:pgSz w:w="11900" w:h="16940"/>
          <w:pgMar w:top="937" w:right="1100" w:bottom="872" w:left="1064" w:header="747" w:footer="713" w:gutter="0"/>
        </w:sectPr>
        <w:rPr>
          <w:sz w:val="24"/>
          <w:szCs w:val="24"/>
        </w:rPr>
      </w:pPr>
    </w:p>
    <w:p>
      <w:pPr>
        <w:spacing w:line="294" w:lineRule="auto"/>
        <w:rPr>
          <w:rFonts w:ascii="Arial"/>
          <w:sz w:val="21"/>
        </w:rPr>
      </w:pPr>
      <w:r/>
    </w:p>
    <w:p>
      <w:pPr>
        <w:spacing w:line="295" w:lineRule="auto"/>
        <w:rPr>
          <w:rFonts w:ascii="Arial"/>
          <w:sz w:val="21"/>
        </w:rPr>
      </w:pPr>
      <w:r/>
    </w:p>
    <w:p>
      <w:pPr>
        <w:ind w:left="475"/>
        <w:spacing w:before="75" w:line="220" w:lineRule="auto"/>
        <w:rPr>
          <w:rFonts w:ascii="FangSong" w:hAnsi="FangSong" w:eastAsia="FangSong" w:cs="FangSong"/>
          <w:sz w:val="23"/>
          <w:szCs w:val="23"/>
        </w:rPr>
      </w:pPr>
      <w:r>
        <w:rPr>
          <w:rFonts w:ascii="FangSong" w:hAnsi="FangSong" w:eastAsia="FangSong" w:cs="FangSong"/>
          <w:sz w:val="23"/>
          <w:szCs w:val="23"/>
          <w:spacing w:val="3"/>
        </w:rPr>
        <w:t>四</w:t>
      </w:r>
      <w:r>
        <w:rPr>
          <w:rFonts w:ascii="FangSong" w:hAnsi="FangSong" w:eastAsia="FangSong" w:cs="FangSong"/>
          <w:sz w:val="23"/>
          <w:szCs w:val="23"/>
          <w:spacing w:val="-47"/>
        </w:rPr>
        <w:t xml:space="preserve"> </w:t>
      </w:r>
      <w:r>
        <w:rPr>
          <w:rFonts w:ascii="FangSong" w:hAnsi="FangSong" w:eastAsia="FangSong" w:cs="FangSong"/>
          <w:sz w:val="23"/>
          <w:szCs w:val="23"/>
          <w:spacing w:val="3"/>
        </w:rPr>
        <w:t>、采煤工作面防突措施效果检验</w:t>
      </w:r>
    </w:p>
    <w:p>
      <w:pPr>
        <w:pStyle w:val="BodyText"/>
        <w:ind w:right="45"/>
        <w:spacing w:before="159" w:line="462" w:lineRule="exact"/>
        <w:jc w:val="right"/>
        <w:rPr>
          <w:sz w:val="23"/>
          <w:szCs w:val="23"/>
        </w:rPr>
      </w:pPr>
      <w:r>
        <w:rPr>
          <w:sz w:val="23"/>
          <w:szCs w:val="23"/>
          <w:spacing w:val="6"/>
          <w:position w:val="17"/>
        </w:rPr>
        <w:t>按照《防治煤与瓦斯突出细则》第一百一十五条要求，介绍采煤工作面防突措施效果检验</w:t>
      </w:r>
    </w:p>
    <w:p>
      <w:pPr>
        <w:pStyle w:val="BodyText"/>
        <w:ind w:left="5"/>
        <w:spacing w:line="220" w:lineRule="auto"/>
        <w:rPr>
          <w:sz w:val="23"/>
          <w:szCs w:val="23"/>
        </w:rPr>
      </w:pPr>
      <w:r>
        <w:rPr>
          <w:sz w:val="23"/>
          <w:szCs w:val="23"/>
          <w:spacing w:val="-12"/>
        </w:rPr>
        <w:t>的方法。</w:t>
      </w:r>
    </w:p>
    <w:p>
      <w:pPr>
        <w:pStyle w:val="BodyText"/>
        <w:ind w:left="3679"/>
        <w:spacing w:before="151" w:line="219" w:lineRule="auto"/>
        <w:rPr>
          <w:sz w:val="29"/>
          <w:szCs w:val="29"/>
        </w:rPr>
      </w:pPr>
      <w:r>
        <w:rPr>
          <w:sz w:val="29"/>
          <w:szCs w:val="29"/>
          <w:b/>
          <w:bCs/>
          <w:spacing w:val="-1"/>
        </w:rPr>
        <w:t>第五节</w:t>
      </w:r>
      <w:r>
        <w:rPr>
          <w:sz w:val="29"/>
          <w:szCs w:val="29"/>
          <w:spacing w:val="22"/>
        </w:rPr>
        <w:t xml:space="preserve">  </w:t>
      </w:r>
      <w:r>
        <w:rPr>
          <w:sz w:val="29"/>
          <w:szCs w:val="29"/>
          <w:b/>
          <w:bCs/>
          <w:spacing w:val="-1"/>
        </w:rPr>
        <w:t>安全防护措施</w:t>
      </w:r>
    </w:p>
    <w:p>
      <w:pPr>
        <w:ind w:right="37"/>
        <w:spacing w:before="142" w:line="474" w:lineRule="exact"/>
        <w:jc w:val="right"/>
        <w:rPr>
          <w:rFonts w:ascii="FangSong" w:hAnsi="FangSong" w:eastAsia="FangSong" w:cs="FangSong"/>
          <w:sz w:val="23"/>
          <w:szCs w:val="23"/>
        </w:rPr>
      </w:pPr>
      <w:r>
        <w:rPr>
          <w:rFonts w:ascii="FangSong" w:hAnsi="FangSong" w:eastAsia="FangSong" w:cs="FangSong"/>
          <w:sz w:val="23"/>
          <w:szCs w:val="23"/>
          <w:spacing w:val="9"/>
          <w:position w:val="18"/>
        </w:rPr>
        <w:t>井巷揭穿突出煤层和在突出煤层中进行采掘作业时，必须采取避难硐室、反向风门、压</w:t>
      </w:r>
    </w:p>
    <w:p>
      <w:pPr>
        <w:pStyle w:val="BodyText"/>
        <w:ind w:left="5"/>
        <w:spacing w:before="1" w:line="217" w:lineRule="auto"/>
        <w:rPr>
          <w:sz w:val="23"/>
          <w:szCs w:val="23"/>
        </w:rPr>
      </w:pPr>
      <w:r>
        <w:rPr>
          <w:sz w:val="23"/>
          <w:szCs w:val="23"/>
          <w:spacing w:val="8"/>
        </w:rPr>
        <w:t>风自救装置、隔离式自救器、远距离爆破等安全</w:t>
      </w:r>
      <w:r>
        <w:rPr>
          <w:sz w:val="23"/>
          <w:szCs w:val="23"/>
          <w:spacing w:val="7"/>
        </w:rPr>
        <w:t>防护措施。</w:t>
      </w:r>
    </w:p>
    <w:p>
      <w:pPr>
        <w:ind w:left="475"/>
        <w:spacing w:before="199" w:line="222" w:lineRule="auto"/>
        <w:rPr>
          <w:rFonts w:ascii="FangSong" w:hAnsi="FangSong" w:eastAsia="FangSong" w:cs="FangSong"/>
          <w:sz w:val="23"/>
          <w:szCs w:val="23"/>
        </w:rPr>
      </w:pPr>
      <w:r>
        <w:rPr>
          <w:rFonts w:ascii="FangSong" w:hAnsi="FangSong" w:eastAsia="FangSong" w:cs="FangSong"/>
          <w:sz w:val="23"/>
          <w:szCs w:val="23"/>
          <w:color w:val="CC8331"/>
          <w:spacing w:val="-1"/>
        </w:rPr>
        <w:t>一</w:t>
      </w:r>
      <w:r>
        <w:rPr>
          <w:rFonts w:ascii="FangSong" w:hAnsi="FangSong" w:eastAsia="FangSong" w:cs="FangSong"/>
          <w:sz w:val="23"/>
          <w:szCs w:val="23"/>
          <w:spacing w:val="-1"/>
        </w:rPr>
        <w:t>、避难硐室</w:t>
      </w:r>
    </w:p>
    <w:p>
      <w:pPr>
        <w:ind w:left="475"/>
        <w:spacing w:before="156" w:line="480" w:lineRule="exact"/>
        <w:rPr>
          <w:rFonts w:ascii="KaiTi" w:hAnsi="KaiTi" w:eastAsia="KaiTi" w:cs="KaiTi"/>
          <w:sz w:val="23"/>
          <w:szCs w:val="23"/>
        </w:rPr>
      </w:pPr>
      <w:r>
        <w:rPr>
          <w:rFonts w:ascii="KaiTi" w:hAnsi="KaiTi" w:eastAsia="KaiTi" w:cs="KaiTi"/>
          <w:sz w:val="23"/>
          <w:szCs w:val="23"/>
          <w:spacing w:val="8"/>
          <w:position w:val="18"/>
        </w:rPr>
        <w:t>按照《防治煤与瓦斯突出细则》第一百一十七条要求，介绍避难硐室的安设标准。</w:t>
      </w:r>
    </w:p>
    <w:p>
      <w:pPr>
        <w:ind w:left="475"/>
        <w:spacing w:before="1" w:line="227" w:lineRule="auto"/>
        <w:rPr>
          <w:rFonts w:ascii="KaiTi" w:hAnsi="KaiTi" w:eastAsia="KaiTi" w:cs="KaiTi"/>
          <w:sz w:val="23"/>
          <w:szCs w:val="23"/>
        </w:rPr>
      </w:pPr>
      <w:r>
        <w:rPr>
          <w:rFonts w:ascii="KaiTi" w:hAnsi="KaiTi" w:eastAsia="KaiTi" w:cs="KaiTi"/>
          <w:sz w:val="23"/>
          <w:szCs w:val="23"/>
          <w:color w:val="DE7600"/>
          <w:spacing w:val="4"/>
        </w:rPr>
        <w:t>二</w:t>
      </w:r>
      <w:r>
        <w:rPr>
          <w:rFonts w:ascii="KaiTi" w:hAnsi="KaiTi" w:eastAsia="KaiTi" w:cs="KaiTi"/>
          <w:sz w:val="23"/>
          <w:szCs w:val="23"/>
          <w:spacing w:val="4"/>
        </w:rPr>
        <w:t>、反向风门</w:t>
      </w:r>
    </w:p>
    <w:p>
      <w:pPr>
        <w:ind w:left="475"/>
        <w:spacing w:before="166" w:line="220" w:lineRule="auto"/>
        <w:rPr>
          <w:rFonts w:ascii="KaiTi" w:hAnsi="KaiTi" w:eastAsia="KaiTi" w:cs="KaiTi"/>
          <w:sz w:val="23"/>
          <w:szCs w:val="23"/>
        </w:rPr>
      </w:pPr>
      <w:r>
        <w:rPr>
          <w:rFonts w:ascii="KaiTi" w:hAnsi="KaiTi" w:eastAsia="KaiTi" w:cs="KaiTi"/>
          <w:sz w:val="23"/>
          <w:szCs w:val="23"/>
          <w:spacing w:val="8"/>
        </w:rPr>
        <w:t>按照《防治煤与瓦斯突出细则》第一百一十八条要求，介绍反向风门设置及管理。</w:t>
      </w:r>
    </w:p>
    <w:p>
      <w:pPr>
        <w:pStyle w:val="BodyText"/>
        <w:ind w:left="478"/>
        <w:spacing w:before="202" w:line="219" w:lineRule="auto"/>
        <w:outlineLvl w:val="0"/>
        <w:rPr>
          <w:sz w:val="23"/>
          <w:szCs w:val="23"/>
        </w:rPr>
      </w:pPr>
      <w:r>
        <w:rPr>
          <w:sz w:val="23"/>
          <w:szCs w:val="23"/>
          <w:b/>
          <w:bCs/>
          <w:spacing w:val="-23"/>
        </w:rPr>
        <w:t>三</w:t>
      </w:r>
      <w:r>
        <w:rPr>
          <w:sz w:val="23"/>
          <w:szCs w:val="23"/>
          <w:spacing w:val="-23"/>
        </w:rPr>
        <w:t xml:space="preserve"> </w:t>
      </w:r>
      <w:r>
        <w:rPr>
          <w:sz w:val="23"/>
          <w:szCs w:val="23"/>
          <w:b/>
          <w:bCs/>
          <w:spacing w:val="-23"/>
        </w:rPr>
        <w:t>、挡栏</w:t>
      </w:r>
    </w:p>
    <w:p>
      <w:pPr>
        <w:ind w:left="465"/>
        <w:spacing w:before="186" w:line="220" w:lineRule="auto"/>
        <w:rPr>
          <w:rFonts w:ascii="FangSong" w:hAnsi="FangSong" w:eastAsia="FangSong" w:cs="FangSong"/>
          <w:sz w:val="23"/>
          <w:szCs w:val="23"/>
        </w:rPr>
      </w:pPr>
      <w:r>
        <w:rPr>
          <w:rFonts w:ascii="FangSong" w:hAnsi="FangSong" w:eastAsia="FangSong" w:cs="FangSong"/>
          <w:sz w:val="23"/>
          <w:szCs w:val="23"/>
          <w:spacing w:val="9"/>
        </w:rPr>
        <w:t>按照《防治煤与瓦斯突出细则》第一百一十九条要求，介绍挡拦的使用</w:t>
      </w:r>
      <w:r>
        <w:rPr>
          <w:rFonts w:ascii="FangSong" w:hAnsi="FangSong" w:eastAsia="FangSong" w:cs="FangSong"/>
          <w:sz w:val="23"/>
          <w:szCs w:val="23"/>
          <w:spacing w:val="8"/>
        </w:rPr>
        <w:t>方法。</w:t>
      </w:r>
    </w:p>
    <w:p>
      <w:pPr>
        <w:ind w:left="478"/>
        <w:spacing w:before="195" w:line="222" w:lineRule="auto"/>
        <w:outlineLvl w:val="0"/>
        <w:rPr>
          <w:rFonts w:ascii="FangSong" w:hAnsi="FangSong" w:eastAsia="FangSong" w:cs="FangSong"/>
          <w:sz w:val="23"/>
          <w:szCs w:val="23"/>
        </w:rPr>
      </w:pPr>
      <w:r>
        <w:rPr>
          <w:rFonts w:ascii="FangSong" w:hAnsi="FangSong" w:eastAsia="FangSong" w:cs="FangSong"/>
          <w:sz w:val="23"/>
          <w:szCs w:val="23"/>
          <w:b/>
          <w:bCs/>
        </w:rPr>
        <w:t>四、远距离爆破</w:t>
      </w:r>
    </w:p>
    <w:p>
      <w:pPr>
        <w:ind w:left="478"/>
        <w:spacing w:before="146" w:line="489" w:lineRule="exact"/>
        <w:rPr>
          <w:rFonts w:ascii="KaiTi" w:hAnsi="KaiTi" w:eastAsia="KaiTi" w:cs="KaiTi"/>
          <w:sz w:val="23"/>
          <w:szCs w:val="23"/>
        </w:rPr>
      </w:pPr>
      <w:r>
        <w:rPr>
          <w:rFonts w:ascii="KaiTi" w:hAnsi="KaiTi" w:eastAsia="KaiTi" w:cs="KaiTi"/>
          <w:sz w:val="23"/>
          <w:szCs w:val="23"/>
          <w:b/>
          <w:bCs/>
          <w:spacing w:val="7"/>
          <w:position w:val="19"/>
        </w:rPr>
        <w:t>按照《防治煤与瓦斯突出细则》第一百二十条要</w:t>
      </w:r>
      <w:r>
        <w:rPr>
          <w:rFonts w:ascii="KaiTi" w:hAnsi="KaiTi" w:eastAsia="KaiTi" w:cs="KaiTi"/>
          <w:sz w:val="23"/>
          <w:szCs w:val="23"/>
          <w:b/>
          <w:bCs/>
          <w:spacing w:val="6"/>
          <w:position w:val="19"/>
        </w:rPr>
        <w:t>求，介绍远距离爆破安全防护措施</w:t>
      </w:r>
      <w:r>
        <w:rPr>
          <w:rFonts w:ascii="KaiTi" w:hAnsi="KaiTi" w:eastAsia="KaiTi" w:cs="KaiTi"/>
          <w:sz w:val="23"/>
          <w:szCs w:val="23"/>
          <w:spacing w:val="6"/>
          <w:position w:val="19"/>
        </w:rPr>
        <w:t>。</w:t>
      </w:r>
    </w:p>
    <w:p>
      <w:pPr>
        <w:pStyle w:val="BodyText"/>
        <w:ind w:left="478"/>
        <w:spacing w:line="219" w:lineRule="auto"/>
        <w:rPr>
          <w:sz w:val="23"/>
          <w:szCs w:val="23"/>
        </w:rPr>
      </w:pPr>
      <w:r>
        <w:rPr>
          <w:sz w:val="23"/>
          <w:szCs w:val="23"/>
          <w:b/>
          <w:bCs/>
          <w:spacing w:val="-14"/>
        </w:rPr>
        <w:t>五、</w:t>
      </w:r>
      <w:r>
        <w:rPr>
          <w:sz w:val="23"/>
          <w:szCs w:val="23"/>
          <w:spacing w:val="-55"/>
        </w:rPr>
        <w:t xml:space="preserve"> </w:t>
      </w:r>
      <w:r>
        <w:rPr>
          <w:sz w:val="23"/>
          <w:szCs w:val="23"/>
          <w:b/>
          <w:bCs/>
          <w:spacing w:val="-14"/>
        </w:rPr>
        <w:t>压风自救</w:t>
      </w:r>
    </w:p>
    <w:p>
      <w:pPr>
        <w:pStyle w:val="BodyText"/>
        <w:spacing w:before="186" w:line="219" w:lineRule="auto"/>
        <w:jc w:val="right"/>
        <w:rPr>
          <w:sz w:val="23"/>
          <w:szCs w:val="23"/>
        </w:rPr>
      </w:pPr>
      <w:r>
        <w:rPr>
          <w:sz w:val="23"/>
          <w:szCs w:val="23"/>
          <w:b/>
          <w:bCs/>
          <w:spacing w:val="5"/>
        </w:rPr>
        <w:t>按照《防治煤与瓦斯突出细则》第一百二十一条要求，介绍压风自救的安装及管理要求</w:t>
      </w:r>
      <w:r>
        <w:rPr>
          <w:sz w:val="23"/>
          <w:szCs w:val="23"/>
          <w:spacing w:val="5"/>
        </w:rPr>
        <w:t>。</w:t>
      </w:r>
    </w:p>
    <w:p>
      <w:pPr>
        <w:spacing w:line="219" w:lineRule="auto"/>
        <w:sectPr>
          <w:headerReference w:type="default" r:id="rId26"/>
          <w:footerReference w:type="default" r:id="rId27"/>
          <w:pgSz w:w="11900" w:h="16940"/>
          <w:pgMar w:top="937" w:right="1084" w:bottom="875" w:left="1074" w:header="747" w:footer="726" w:gutter="0"/>
        </w:sectPr>
        <w:rPr>
          <w:sz w:val="23"/>
          <w:szCs w:val="23"/>
        </w:rPr>
      </w:pPr>
    </w:p>
    <w:p>
      <w:pPr>
        <w:spacing w:line="436" w:lineRule="auto"/>
        <w:rPr>
          <w:rFonts w:ascii="Arial"/>
          <w:sz w:val="21"/>
        </w:rPr>
      </w:pPr>
      <w:r/>
    </w:p>
    <w:p>
      <w:pPr>
        <w:pStyle w:val="BodyText"/>
        <w:ind w:left="3127"/>
        <w:spacing w:before="114" w:line="510" w:lineRule="exact"/>
        <w:rPr>
          <w:sz w:val="35"/>
          <w:szCs w:val="35"/>
        </w:rPr>
      </w:pPr>
      <w:r>
        <w:rPr>
          <w:sz w:val="35"/>
          <w:szCs w:val="35"/>
          <w:b/>
          <w:bCs/>
          <w:spacing w:val="-1"/>
          <w:position w:val="11"/>
        </w:rPr>
        <w:t>第五章</w:t>
      </w:r>
      <w:r>
        <w:rPr>
          <w:sz w:val="35"/>
          <w:szCs w:val="35"/>
          <w:spacing w:val="-1"/>
          <w:position w:val="11"/>
        </w:rPr>
        <w:t xml:space="preserve">  </w:t>
      </w:r>
      <w:r>
        <w:rPr>
          <w:sz w:val="35"/>
          <w:szCs w:val="35"/>
          <w:b/>
          <w:bCs/>
          <w:spacing w:val="-1"/>
          <w:position w:val="11"/>
        </w:rPr>
        <w:t>突出矿井管理</w:t>
      </w:r>
    </w:p>
    <w:p>
      <w:pPr>
        <w:pStyle w:val="BodyText"/>
        <w:ind w:left="3686"/>
        <w:spacing w:line="219" w:lineRule="auto"/>
        <w:rPr>
          <w:sz w:val="29"/>
          <w:szCs w:val="29"/>
        </w:rPr>
      </w:pPr>
      <w:r>
        <w:rPr>
          <w:sz w:val="29"/>
          <w:szCs w:val="29"/>
          <w:b/>
          <w:bCs/>
          <w:spacing w:val="4"/>
        </w:rPr>
        <w:t>第一节</w:t>
      </w:r>
      <w:r>
        <w:rPr>
          <w:sz w:val="29"/>
          <w:szCs w:val="29"/>
          <w:spacing w:val="4"/>
        </w:rPr>
        <w:t xml:space="preserve">  </w:t>
      </w:r>
      <w:r>
        <w:rPr>
          <w:sz w:val="29"/>
          <w:szCs w:val="29"/>
          <w:b/>
          <w:bCs/>
          <w:spacing w:val="4"/>
        </w:rPr>
        <w:t>组织管理措施</w:t>
      </w:r>
    </w:p>
    <w:p>
      <w:pPr>
        <w:ind w:left="475"/>
        <w:spacing w:before="173" w:line="224" w:lineRule="auto"/>
        <w:outlineLvl w:val="0"/>
        <w:rPr>
          <w:rFonts w:ascii="FangSong" w:hAnsi="FangSong" w:eastAsia="FangSong" w:cs="FangSong"/>
          <w:sz w:val="23"/>
          <w:szCs w:val="23"/>
        </w:rPr>
      </w:pPr>
      <w:r>
        <w:rPr>
          <w:rFonts w:ascii="FangSong" w:hAnsi="FangSong" w:eastAsia="FangSong" w:cs="FangSong"/>
          <w:sz w:val="23"/>
          <w:szCs w:val="23"/>
          <w:b/>
          <w:bCs/>
          <w:spacing w:val="1"/>
        </w:rPr>
        <w:t>一、成立领导小组</w:t>
      </w:r>
    </w:p>
    <w:p>
      <w:pPr>
        <w:pStyle w:val="BodyText"/>
        <w:ind w:left="472"/>
        <w:spacing w:before="184" w:line="219" w:lineRule="auto"/>
        <w:rPr>
          <w:sz w:val="23"/>
          <w:szCs w:val="23"/>
        </w:rPr>
      </w:pPr>
      <w:r>
        <w:rPr>
          <w:sz w:val="23"/>
          <w:szCs w:val="23"/>
          <w:spacing w:val="-4"/>
        </w:rPr>
        <w:t>组</w:t>
      </w:r>
      <w:r>
        <w:rPr>
          <w:sz w:val="23"/>
          <w:szCs w:val="23"/>
          <w:spacing w:val="15"/>
        </w:rPr>
        <w:t xml:space="preserve">  </w:t>
      </w:r>
      <w:r>
        <w:rPr>
          <w:sz w:val="23"/>
          <w:szCs w:val="23"/>
          <w:spacing w:val="-4"/>
        </w:rPr>
        <w:t>长：矿长</w:t>
      </w:r>
    </w:p>
    <w:p>
      <w:pPr>
        <w:pStyle w:val="BodyText"/>
        <w:ind w:left="472"/>
        <w:spacing w:before="165" w:line="219" w:lineRule="auto"/>
        <w:rPr>
          <w:sz w:val="23"/>
          <w:szCs w:val="23"/>
        </w:rPr>
      </w:pPr>
      <w:r>
        <w:rPr>
          <w:sz w:val="23"/>
          <w:szCs w:val="23"/>
          <w:spacing w:val="8"/>
        </w:rPr>
        <w:t>副组长：总工程师，安全矿长、生产矿长、机电</w:t>
      </w:r>
      <w:r>
        <w:rPr>
          <w:sz w:val="23"/>
          <w:szCs w:val="23"/>
          <w:spacing w:val="7"/>
        </w:rPr>
        <w:t>矿长等</w:t>
      </w:r>
    </w:p>
    <w:p>
      <w:pPr>
        <w:pStyle w:val="BodyText"/>
        <w:ind w:left="472"/>
        <w:spacing w:before="197" w:line="219" w:lineRule="auto"/>
        <w:rPr>
          <w:sz w:val="23"/>
          <w:szCs w:val="23"/>
        </w:rPr>
      </w:pPr>
      <w:r>
        <w:rPr>
          <w:sz w:val="23"/>
          <w:szCs w:val="23"/>
          <w:spacing w:val="8"/>
        </w:rPr>
        <w:t>成  员：通防副总工、地质副总工、相关业务科室、区队</w:t>
      </w:r>
    </w:p>
    <w:p>
      <w:pPr>
        <w:ind w:left="475"/>
        <w:spacing w:before="195" w:line="224" w:lineRule="auto"/>
        <w:outlineLvl w:val="0"/>
        <w:rPr>
          <w:rFonts w:ascii="FangSong" w:hAnsi="FangSong" w:eastAsia="FangSong" w:cs="FangSong"/>
          <w:sz w:val="23"/>
          <w:szCs w:val="23"/>
        </w:rPr>
      </w:pPr>
      <w:r>
        <w:rPr>
          <w:rFonts w:ascii="FangSong" w:hAnsi="FangSong" w:eastAsia="FangSong" w:cs="FangSong"/>
          <w:sz w:val="23"/>
          <w:szCs w:val="23"/>
          <w:b/>
          <w:bCs/>
          <w:spacing w:val="1"/>
        </w:rPr>
        <w:t>二、明确职责</w:t>
      </w:r>
    </w:p>
    <w:p>
      <w:pPr>
        <w:ind w:left="472"/>
        <w:spacing w:before="171" w:line="221" w:lineRule="auto"/>
        <w:rPr>
          <w:rFonts w:ascii="FangSong" w:hAnsi="FangSong" w:eastAsia="FangSong" w:cs="FangSong"/>
          <w:sz w:val="23"/>
          <w:szCs w:val="23"/>
        </w:rPr>
      </w:pPr>
      <w:r>
        <w:rPr>
          <w:rFonts w:ascii="FangSong" w:hAnsi="FangSong" w:eastAsia="FangSong" w:cs="FangSong"/>
          <w:sz w:val="23"/>
          <w:szCs w:val="23"/>
          <w:spacing w:val="6"/>
        </w:rPr>
        <w:t>简述组长、副组长、成员职责</w:t>
      </w:r>
    </w:p>
    <w:p>
      <w:pPr>
        <w:ind w:left="475"/>
        <w:spacing w:before="184" w:line="223" w:lineRule="auto"/>
        <w:outlineLvl w:val="0"/>
        <w:rPr>
          <w:rFonts w:ascii="FangSong" w:hAnsi="FangSong" w:eastAsia="FangSong" w:cs="FangSong"/>
          <w:sz w:val="23"/>
          <w:szCs w:val="23"/>
        </w:rPr>
      </w:pPr>
      <w:r>
        <w:rPr>
          <w:rFonts w:ascii="FangSong" w:hAnsi="FangSong" w:eastAsia="FangSong" w:cs="FangSong"/>
          <w:sz w:val="23"/>
          <w:szCs w:val="23"/>
          <w:b/>
          <w:bCs/>
          <w:spacing w:val="4"/>
        </w:rPr>
        <w:t>三、各类人员的防突知识培训</w:t>
      </w:r>
    </w:p>
    <w:p>
      <w:pPr>
        <w:ind w:left="3696"/>
        <w:spacing w:before="138" w:line="223" w:lineRule="auto"/>
        <w:rPr>
          <w:rFonts w:ascii="KaiTi" w:hAnsi="KaiTi" w:eastAsia="KaiTi" w:cs="KaiTi"/>
          <w:sz w:val="29"/>
          <w:szCs w:val="29"/>
        </w:rPr>
      </w:pPr>
      <w:r>
        <w:rPr>
          <w:rFonts w:ascii="KaiTi" w:hAnsi="KaiTi" w:eastAsia="KaiTi" w:cs="KaiTi"/>
          <w:sz w:val="29"/>
          <w:szCs w:val="29"/>
          <w:b/>
          <w:bCs/>
          <w:spacing w:val="3"/>
        </w:rPr>
        <w:t>第二节</w:t>
      </w:r>
      <w:r>
        <w:rPr>
          <w:rFonts w:ascii="KaiTi" w:hAnsi="KaiTi" w:eastAsia="KaiTi" w:cs="KaiTi"/>
          <w:sz w:val="29"/>
          <w:szCs w:val="29"/>
          <w:spacing w:val="3"/>
        </w:rPr>
        <w:t xml:space="preserve">  </w:t>
      </w:r>
      <w:r>
        <w:rPr>
          <w:rFonts w:ascii="KaiTi" w:hAnsi="KaiTi" w:eastAsia="KaiTi" w:cs="KaiTi"/>
          <w:sz w:val="29"/>
          <w:szCs w:val="29"/>
          <w:b/>
          <w:bCs/>
          <w:spacing w:val="3"/>
        </w:rPr>
        <w:t>防突技术管理</w:t>
      </w:r>
    </w:p>
    <w:p>
      <w:pPr>
        <w:ind w:left="475"/>
        <w:spacing w:before="162" w:line="222" w:lineRule="auto"/>
        <w:outlineLvl w:val="0"/>
        <w:rPr>
          <w:rFonts w:ascii="FangSong" w:hAnsi="FangSong" w:eastAsia="FangSong" w:cs="FangSong"/>
          <w:sz w:val="23"/>
          <w:szCs w:val="23"/>
        </w:rPr>
      </w:pPr>
      <w:r>
        <w:rPr>
          <w:rFonts w:ascii="FangSong" w:hAnsi="FangSong" w:eastAsia="FangSong" w:cs="FangSong"/>
          <w:sz w:val="23"/>
          <w:szCs w:val="23"/>
          <w:b/>
          <w:bCs/>
          <w:spacing w:val="3"/>
        </w:rPr>
        <w:t>一</w:t>
      </w:r>
      <w:r>
        <w:rPr>
          <w:rFonts w:ascii="FangSong" w:hAnsi="FangSong" w:eastAsia="FangSong" w:cs="FangSong"/>
          <w:sz w:val="23"/>
          <w:szCs w:val="23"/>
          <w:spacing w:val="-49"/>
        </w:rPr>
        <w:t xml:space="preserve"> </w:t>
      </w:r>
      <w:r>
        <w:rPr>
          <w:rFonts w:ascii="FangSong" w:hAnsi="FangSong" w:eastAsia="FangSong" w:cs="FangSong"/>
          <w:sz w:val="23"/>
          <w:szCs w:val="23"/>
          <w:b/>
          <w:bCs/>
          <w:spacing w:val="3"/>
        </w:rPr>
        <w:t>、防突规划、计划的编制</w:t>
      </w:r>
    </w:p>
    <w:p>
      <w:pPr>
        <w:pStyle w:val="BodyText"/>
        <w:ind w:left="472"/>
        <w:spacing w:before="178" w:line="219" w:lineRule="auto"/>
        <w:rPr>
          <w:sz w:val="23"/>
          <w:szCs w:val="23"/>
        </w:rPr>
      </w:pPr>
      <w:r>
        <w:rPr>
          <w:sz w:val="23"/>
          <w:szCs w:val="23"/>
          <w:spacing w:val="7"/>
        </w:rPr>
        <w:t>介绍防突规划、计划的编制管理</w:t>
      </w:r>
    </w:p>
    <w:p>
      <w:pPr>
        <w:ind w:left="475"/>
        <w:spacing w:before="192" w:line="222" w:lineRule="auto"/>
        <w:outlineLvl w:val="0"/>
        <w:rPr>
          <w:rFonts w:ascii="FangSong" w:hAnsi="FangSong" w:eastAsia="FangSong" w:cs="FangSong"/>
          <w:sz w:val="23"/>
          <w:szCs w:val="23"/>
        </w:rPr>
      </w:pPr>
      <w:r>
        <w:rPr>
          <w:rFonts w:ascii="FangSong" w:hAnsi="FangSong" w:eastAsia="FangSong" w:cs="FangSong"/>
          <w:sz w:val="23"/>
          <w:szCs w:val="23"/>
          <w:b/>
          <w:bCs/>
          <w:spacing w:val="4"/>
        </w:rPr>
        <w:t>二、防突措施的制定和实施</w:t>
      </w:r>
    </w:p>
    <w:p>
      <w:pPr>
        <w:ind w:left="472"/>
        <w:spacing w:before="174" w:line="222" w:lineRule="auto"/>
        <w:rPr>
          <w:rFonts w:ascii="KaiTi" w:hAnsi="KaiTi" w:eastAsia="KaiTi" w:cs="KaiTi"/>
          <w:sz w:val="23"/>
          <w:szCs w:val="23"/>
        </w:rPr>
      </w:pPr>
      <w:r>
        <w:rPr>
          <w:rFonts w:ascii="KaiTi" w:hAnsi="KaiTi" w:eastAsia="KaiTi" w:cs="KaiTi"/>
          <w:sz w:val="23"/>
          <w:szCs w:val="23"/>
          <w:spacing w:val="6"/>
        </w:rPr>
        <w:t>介绍防突措施的制定和实施管理</w:t>
      </w:r>
    </w:p>
    <w:p>
      <w:pPr>
        <w:ind w:left="475"/>
        <w:spacing w:before="172" w:line="220" w:lineRule="auto"/>
        <w:outlineLvl w:val="0"/>
        <w:rPr>
          <w:rFonts w:ascii="FangSong" w:hAnsi="FangSong" w:eastAsia="FangSong" w:cs="FangSong"/>
          <w:sz w:val="23"/>
          <w:szCs w:val="23"/>
        </w:rPr>
      </w:pPr>
      <w:r>
        <w:rPr>
          <w:rFonts w:ascii="FangSong" w:hAnsi="FangSong" w:eastAsia="FangSong" w:cs="FangSong"/>
          <w:sz w:val="23"/>
          <w:szCs w:val="23"/>
          <w:b/>
          <w:bCs/>
          <w:spacing w:val="6"/>
        </w:rPr>
        <w:t>三、防突工作面安全报告与审批制度</w:t>
      </w:r>
    </w:p>
    <w:p>
      <w:pPr>
        <w:ind w:left="472"/>
        <w:spacing w:before="209" w:line="220" w:lineRule="auto"/>
        <w:rPr>
          <w:rFonts w:ascii="FangSong" w:hAnsi="FangSong" w:eastAsia="FangSong" w:cs="FangSong"/>
          <w:sz w:val="23"/>
          <w:szCs w:val="23"/>
        </w:rPr>
      </w:pPr>
      <w:r>
        <w:rPr>
          <w:rFonts w:ascii="FangSong" w:hAnsi="FangSong" w:eastAsia="FangSong" w:cs="FangSong"/>
          <w:sz w:val="23"/>
          <w:szCs w:val="23"/>
          <w:spacing w:val="6"/>
        </w:rPr>
        <w:t>防突工作面安全报告的审批管理</w:t>
      </w:r>
    </w:p>
    <w:p>
      <w:pPr>
        <w:ind w:left="475"/>
        <w:spacing w:before="163" w:line="220" w:lineRule="auto"/>
        <w:outlineLvl w:val="0"/>
        <w:rPr>
          <w:rFonts w:ascii="FangSong" w:hAnsi="FangSong" w:eastAsia="FangSong" w:cs="FangSong"/>
          <w:sz w:val="23"/>
          <w:szCs w:val="23"/>
        </w:rPr>
      </w:pPr>
      <w:r>
        <w:rPr>
          <w:rFonts w:ascii="FangSong" w:hAnsi="FangSong" w:eastAsia="FangSong" w:cs="FangSong"/>
          <w:sz w:val="23"/>
          <w:szCs w:val="23"/>
          <w:b/>
          <w:bCs/>
          <w:spacing w:val="6"/>
        </w:rPr>
        <w:t>四、防突资料的收集、整理分析，填报突出卡片制度</w:t>
      </w:r>
    </w:p>
    <w:p>
      <w:pPr>
        <w:pStyle w:val="BodyText"/>
        <w:ind w:left="472"/>
        <w:spacing w:before="202" w:line="219" w:lineRule="auto"/>
        <w:rPr>
          <w:sz w:val="23"/>
          <w:szCs w:val="23"/>
        </w:rPr>
      </w:pPr>
      <w:r>
        <w:rPr>
          <w:sz w:val="23"/>
          <w:szCs w:val="23"/>
          <w:spacing w:val="9"/>
        </w:rPr>
        <w:t>介绍防突资料的收集、整体分析管理，及填报突出卡片管理</w:t>
      </w:r>
    </w:p>
    <w:p>
      <w:pPr>
        <w:ind w:left="475"/>
        <w:spacing w:before="191" w:line="220" w:lineRule="auto"/>
        <w:outlineLvl w:val="0"/>
        <w:rPr>
          <w:rFonts w:ascii="FangSong" w:hAnsi="FangSong" w:eastAsia="FangSong" w:cs="FangSong"/>
          <w:sz w:val="23"/>
          <w:szCs w:val="23"/>
        </w:rPr>
      </w:pPr>
      <w:r>
        <w:rPr>
          <w:rFonts w:ascii="FangSong" w:hAnsi="FangSong" w:eastAsia="FangSong" w:cs="FangSong"/>
          <w:sz w:val="23"/>
          <w:szCs w:val="23"/>
          <w:b/>
          <w:bCs/>
          <w:spacing w:val="6"/>
        </w:rPr>
        <w:t>五、矿井突出工作面的挂牌管理制度</w:t>
      </w:r>
    </w:p>
    <w:p>
      <w:pPr>
        <w:pStyle w:val="BodyText"/>
        <w:ind w:left="472"/>
        <w:spacing w:before="182" w:line="219" w:lineRule="auto"/>
        <w:rPr>
          <w:sz w:val="23"/>
          <w:szCs w:val="23"/>
        </w:rPr>
      </w:pPr>
      <w:r>
        <w:rPr>
          <w:sz w:val="23"/>
          <w:szCs w:val="23"/>
          <w:spacing w:val="6"/>
        </w:rPr>
        <w:t>矿井突出工作面防突管理牌板管理程序</w:t>
      </w:r>
    </w:p>
    <w:p>
      <w:pPr>
        <w:ind w:left="475"/>
        <w:spacing w:before="180" w:line="223" w:lineRule="auto"/>
        <w:outlineLvl w:val="0"/>
        <w:rPr>
          <w:rFonts w:ascii="KaiTi" w:hAnsi="KaiTi" w:eastAsia="KaiTi" w:cs="KaiTi"/>
          <w:sz w:val="23"/>
          <w:szCs w:val="23"/>
        </w:rPr>
      </w:pPr>
      <w:r>
        <w:rPr>
          <w:rFonts w:ascii="KaiTi" w:hAnsi="KaiTi" w:eastAsia="KaiTi" w:cs="KaiTi"/>
          <w:sz w:val="23"/>
          <w:szCs w:val="23"/>
          <w:b/>
          <w:bCs/>
          <w:spacing w:val="6"/>
        </w:rPr>
        <w:t>六、综合防突措施实施过程管理和突出预兆管控</w:t>
      </w:r>
    </w:p>
    <w:p>
      <w:pPr>
        <w:pStyle w:val="BodyText"/>
        <w:ind w:right="27"/>
        <w:spacing w:before="200" w:line="451" w:lineRule="exact"/>
        <w:jc w:val="right"/>
        <w:rPr>
          <w:sz w:val="23"/>
          <w:szCs w:val="23"/>
        </w:rPr>
      </w:pPr>
      <w:r>
        <w:rPr>
          <w:sz w:val="23"/>
          <w:szCs w:val="23"/>
          <w:spacing w:val="13"/>
          <w:position w:val="16"/>
        </w:rPr>
        <w:t>简述区域预测、防突措施实施、抽采计量、措施效果检验(实</w:t>
      </w:r>
      <w:r>
        <w:rPr>
          <w:sz w:val="23"/>
          <w:szCs w:val="23"/>
          <w:spacing w:val="12"/>
          <w:position w:val="16"/>
        </w:rPr>
        <w:t>验室化验)、区域验证、突</w:t>
      </w:r>
    </w:p>
    <w:p>
      <w:pPr>
        <w:pStyle w:val="BodyText"/>
        <w:ind w:left="2"/>
        <w:spacing w:line="219" w:lineRule="auto"/>
        <w:rPr>
          <w:sz w:val="23"/>
          <w:szCs w:val="23"/>
        </w:rPr>
      </w:pPr>
      <w:r>
        <w:rPr>
          <w:sz w:val="23"/>
          <w:szCs w:val="23"/>
          <w:spacing w:val="2"/>
        </w:rPr>
        <w:t>出预兆等重点环节的管控措施。</w:t>
      </w:r>
    </w:p>
    <w:p>
      <w:pPr>
        <w:ind w:left="475"/>
        <w:spacing w:before="188" w:line="223" w:lineRule="auto"/>
        <w:outlineLvl w:val="0"/>
        <w:rPr>
          <w:rFonts w:ascii="KaiTi" w:hAnsi="KaiTi" w:eastAsia="KaiTi" w:cs="KaiTi"/>
          <w:sz w:val="23"/>
          <w:szCs w:val="23"/>
        </w:rPr>
      </w:pPr>
      <w:r>
        <w:rPr>
          <w:rFonts w:ascii="KaiTi" w:hAnsi="KaiTi" w:eastAsia="KaiTi" w:cs="KaiTi"/>
          <w:sz w:val="23"/>
          <w:szCs w:val="23"/>
          <w:b/>
          <w:bCs/>
          <w:spacing w:val="4"/>
        </w:rPr>
        <w:t>七、日常技术管理工作</w:t>
      </w:r>
    </w:p>
    <w:p>
      <w:pPr>
        <w:pStyle w:val="BodyText"/>
        <w:ind w:left="2" w:firstLine="469"/>
        <w:spacing w:before="174" w:line="371" w:lineRule="auto"/>
        <w:jc w:val="both"/>
        <w:rPr>
          <w:rFonts w:ascii="KaiTi" w:hAnsi="KaiTi" w:eastAsia="KaiTi" w:cs="KaiTi"/>
          <w:sz w:val="23"/>
          <w:szCs w:val="23"/>
        </w:rPr>
      </w:pPr>
      <w:r>
        <w:rPr>
          <w:rFonts w:ascii="KaiTi" w:hAnsi="KaiTi" w:eastAsia="KaiTi" w:cs="KaiTi"/>
          <w:sz w:val="23"/>
          <w:szCs w:val="23"/>
          <w:spacing w:val="5"/>
        </w:rPr>
        <w:t>矿井需要加强的日常技术管理工作还包括以下一些内容：1.合理采掘部署；2.防突管理程</w:t>
      </w:r>
      <w:r>
        <w:rPr>
          <w:rFonts w:ascii="KaiTi" w:hAnsi="KaiTi" w:eastAsia="KaiTi" w:cs="KaiTi"/>
          <w:sz w:val="23"/>
          <w:szCs w:val="23"/>
          <w:spacing w:val="16"/>
        </w:rPr>
        <w:t xml:space="preserve"> </w:t>
      </w:r>
      <w:r>
        <w:rPr>
          <w:sz w:val="23"/>
          <w:szCs w:val="23"/>
          <w:spacing w:val="6"/>
        </w:rPr>
        <w:t>序；3.防突设计、审批、监督检查和防突措施落实情况；4.采掘工作面地质测量工作；5.电气</w:t>
      </w:r>
      <w:r>
        <w:rPr>
          <w:sz w:val="23"/>
          <w:szCs w:val="23"/>
          <w:spacing w:val="9"/>
        </w:rPr>
        <w:t xml:space="preserve"> </w:t>
      </w:r>
      <w:r>
        <w:rPr>
          <w:rFonts w:ascii="FangSong" w:hAnsi="FangSong" w:eastAsia="FangSong" w:cs="FangSong"/>
          <w:sz w:val="23"/>
          <w:szCs w:val="23"/>
          <w:spacing w:val="12"/>
        </w:rPr>
        <w:t>设备的管理与定期检查；6.加强井巷支护，防止因垮落引发突出；7</w:t>
      </w:r>
      <w:r>
        <w:rPr>
          <w:rFonts w:ascii="KaiTi" w:hAnsi="KaiTi" w:eastAsia="KaiTi" w:cs="KaiTi"/>
          <w:sz w:val="23"/>
          <w:szCs w:val="23"/>
          <w:spacing w:val="12"/>
        </w:rPr>
        <w:t>.加强爆破工作管理；8.</w:t>
      </w:r>
    </w:p>
    <w:p>
      <w:pPr>
        <w:pStyle w:val="BodyText"/>
        <w:ind w:left="2"/>
        <w:spacing w:before="1" w:line="219" w:lineRule="auto"/>
        <w:rPr>
          <w:sz w:val="23"/>
          <w:szCs w:val="23"/>
        </w:rPr>
      </w:pPr>
      <w:r>
        <w:rPr>
          <w:sz w:val="23"/>
          <w:szCs w:val="23"/>
        </w:rPr>
        <w:t>及时处理好突出孔洞。</w:t>
      </w:r>
    </w:p>
    <w:p>
      <w:pPr>
        <w:spacing w:line="219" w:lineRule="auto"/>
        <w:sectPr>
          <w:headerReference w:type="default" r:id="rId28"/>
          <w:footerReference w:type="default" r:id="rId29"/>
          <w:pgSz w:w="11900" w:h="16940"/>
          <w:pgMar w:top="934" w:right="1096" w:bottom="872" w:left="1067" w:header="744" w:footer="713" w:gutter="0"/>
        </w:sectPr>
        <w:rPr>
          <w:sz w:val="23"/>
          <w:szCs w:val="23"/>
        </w:rPr>
      </w:pPr>
    </w:p>
    <w:p>
      <w:pPr>
        <w:spacing w:line="340" w:lineRule="auto"/>
        <w:rPr>
          <w:rFonts w:ascii="Arial"/>
          <w:sz w:val="21"/>
        </w:rPr>
      </w:pPr>
      <w:r/>
    </w:p>
    <w:p>
      <w:pPr>
        <w:spacing w:line="341" w:lineRule="auto"/>
        <w:rPr>
          <w:rFonts w:ascii="Arial"/>
          <w:sz w:val="21"/>
        </w:rPr>
      </w:pPr>
      <w:r/>
    </w:p>
    <w:p>
      <w:pPr>
        <w:pStyle w:val="BodyText"/>
        <w:ind w:left="2937"/>
        <w:spacing w:before="117" w:line="219" w:lineRule="auto"/>
        <w:rPr>
          <w:sz w:val="36"/>
          <w:szCs w:val="36"/>
        </w:rPr>
      </w:pPr>
      <w:r>
        <w:rPr>
          <w:sz w:val="36"/>
          <w:szCs w:val="36"/>
          <w:b/>
          <w:bCs/>
          <w:spacing w:val="-7"/>
        </w:rPr>
        <w:t>第六章</w:t>
      </w:r>
      <w:r>
        <w:rPr>
          <w:sz w:val="36"/>
          <w:szCs w:val="36"/>
          <w:spacing w:val="159"/>
        </w:rPr>
        <w:t xml:space="preserve"> </w:t>
      </w:r>
      <w:r>
        <w:rPr>
          <w:sz w:val="36"/>
          <w:szCs w:val="36"/>
          <w:b/>
          <w:bCs/>
          <w:spacing w:val="-7"/>
        </w:rPr>
        <w:t>防突仪器、装备</w:t>
      </w:r>
    </w:p>
    <w:p>
      <w:pPr>
        <w:ind w:left="492"/>
        <w:spacing w:before="220" w:line="220" w:lineRule="auto"/>
        <w:rPr>
          <w:rFonts w:ascii="FangSong" w:hAnsi="FangSong" w:eastAsia="FangSong" w:cs="FangSong"/>
          <w:sz w:val="24"/>
          <w:szCs w:val="24"/>
        </w:rPr>
      </w:pPr>
      <w:r>
        <w:rPr>
          <w:rFonts w:ascii="FangSong" w:hAnsi="FangSong" w:eastAsia="FangSong" w:cs="FangSong"/>
          <w:sz w:val="24"/>
          <w:szCs w:val="24"/>
          <w:spacing w:val="-1"/>
        </w:rPr>
        <w:t>根据矿井的实际情况，防治煤与瓦斯突出的仪器和装备见下表</w:t>
      </w:r>
    </w:p>
    <w:p>
      <w:pPr>
        <w:spacing w:line="113" w:lineRule="exact"/>
        <w:rPr/>
      </w:pPr>
      <w:r/>
    </w:p>
    <w:tbl>
      <w:tblPr>
        <w:tblStyle w:val="TableNormal"/>
        <w:tblW w:w="9099" w:type="dxa"/>
        <w:tblInd w:w="322" w:type="dxa"/>
        <w:tblLayout w:type="fixed"/>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Grid>
        <w:gridCol w:w="814"/>
        <w:gridCol w:w="2197"/>
        <w:gridCol w:w="2058"/>
        <w:gridCol w:w="1029"/>
        <w:gridCol w:w="1488"/>
        <w:gridCol w:w="1513"/>
      </w:tblGrid>
      <w:tr>
        <w:trPr>
          <w:trHeight w:val="564" w:hRule="atLeast"/>
        </w:trPr>
        <w:tc>
          <w:tcPr>
            <w:tcW w:w="814" w:type="dxa"/>
            <w:vAlign w:val="top"/>
          </w:tcPr>
          <w:p>
            <w:pPr>
              <w:ind w:left="164"/>
              <w:spacing w:before="85" w:line="221" w:lineRule="auto"/>
              <w:rPr>
                <w:rFonts w:ascii="SimSun" w:hAnsi="SimSun" w:eastAsia="SimSun" w:cs="SimSun"/>
                <w:sz w:val="23"/>
                <w:szCs w:val="23"/>
              </w:rPr>
            </w:pPr>
            <w:r>
              <w:rPr>
                <w:rFonts w:ascii="SimSun" w:hAnsi="SimSun" w:eastAsia="SimSun" w:cs="SimSun"/>
                <w:sz w:val="23"/>
                <w:szCs w:val="23"/>
                <w:spacing w:val="7"/>
              </w:rPr>
              <w:t>序号</w:t>
            </w:r>
          </w:p>
        </w:tc>
        <w:tc>
          <w:tcPr>
            <w:tcW w:w="2197" w:type="dxa"/>
            <w:vAlign w:val="top"/>
          </w:tcPr>
          <w:p>
            <w:pPr>
              <w:ind w:left="860"/>
              <w:spacing w:before="77" w:line="221" w:lineRule="auto"/>
              <w:rPr>
                <w:rFonts w:ascii="SimSun" w:hAnsi="SimSun" w:eastAsia="SimSun" w:cs="SimSun"/>
                <w:sz w:val="23"/>
                <w:szCs w:val="23"/>
              </w:rPr>
            </w:pPr>
            <w:r>
              <w:rPr>
                <w:rFonts w:ascii="SimSun" w:hAnsi="SimSun" w:eastAsia="SimSun" w:cs="SimSun"/>
                <w:sz w:val="23"/>
                <w:szCs w:val="23"/>
                <w:spacing w:val="5"/>
              </w:rPr>
              <w:t>名称</w:t>
            </w:r>
          </w:p>
        </w:tc>
        <w:tc>
          <w:tcPr>
            <w:tcW w:w="2058" w:type="dxa"/>
            <w:vAlign w:val="top"/>
          </w:tcPr>
          <w:p>
            <w:pPr>
              <w:ind w:left="443"/>
              <w:spacing w:before="84" w:line="219" w:lineRule="auto"/>
              <w:rPr>
                <w:rFonts w:ascii="SimSun" w:hAnsi="SimSun" w:eastAsia="SimSun" w:cs="SimSun"/>
                <w:sz w:val="23"/>
                <w:szCs w:val="23"/>
              </w:rPr>
            </w:pPr>
            <w:r>
              <w:rPr>
                <w:rFonts w:ascii="SimSun" w:hAnsi="SimSun" w:eastAsia="SimSun" w:cs="SimSun"/>
                <w:sz w:val="23"/>
                <w:szCs w:val="23"/>
                <w:spacing w:val="1"/>
              </w:rPr>
              <w:t>型号及规格</w:t>
            </w:r>
          </w:p>
        </w:tc>
        <w:tc>
          <w:tcPr>
            <w:tcW w:w="1029" w:type="dxa"/>
            <w:vAlign w:val="top"/>
          </w:tcPr>
          <w:p>
            <w:pPr>
              <w:ind w:left="276"/>
              <w:spacing w:before="75" w:line="220" w:lineRule="auto"/>
              <w:rPr>
                <w:rFonts w:ascii="SimSun" w:hAnsi="SimSun" w:eastAsia="SimSun" w:cs="SimSun"/>
                <w:sz w:val="23"/>
                <w:szCs w:val="23"/>
              </w:rPr>
            </w:pPr>
            <w:r>
              <w:rPr>
                <w:rFonts w:ascii="SimSun" w:hAnsi="SimSun" w:eastAsia="SimSun" w:cs="SimSun"/>
                <w:sz w:val="23"/>
                <w:szCs w:val="23"/>
                <w:spacing w:val="-3"/>
              </w:rPr>
              <w:t>单位</w:t>
            </w:r>
          </w:p>
        </w:tc>
        <w:tc>
          <w:tcPr>
            <w:tcW w:w="1488" w:type="dxa"/>
            <w:vAlign w:val="top"/>
          </w:tcPr>
          <w:p>
            <w:pPr>
              <w:ind w:left="506"/>
              <w:spacing w:before="74" w:line="219" w:lineRule="auto"/>
              <w:rPr>
                <w:rFonts w:ascii="SimSun" w:hAnsi="SimSun" w:eastAsia="SimSun" w:cs="SimSun"/>
                <w:sz w:val="23"/>
                <w:szCs w:val="23"/>
              </w:rPr>
            </w:pPr>
            <w:r>
              <w:rPr>
                <w:rFonts w:ascii="SimSun" w:hAnsi="SimSun" w:eastAsia="SimSun" w:cs="SimSun"/>
                <w:sz w:val="23"/>
                <w:szCs w:val="23"/>
                <w:spacing w:val="-3"/>
              </w:rPr>
              <w:t>数量</w:t>
            </w:r>
          </w:p>
        </w:tc>
        <w:tc>
          <w:tcPr>
            <w:tcW w:w="1513" w:type="dxa"/>
            <w:vAlign w:val="top"/>
          </w:tcPr>
          <w:p>
            <w:pPr>
              <w:ind w:left="518"/>
              <w:spacing w:before="75" w:line="221" w:lineRule="auto"/>
              <w:rPr>
                <w:rFonts w:ascii="SimSun" w:hAnsi="SimSun" w:eastAsia="SimSun" w:cs="SimSun"/>
                <w:sz w:val="23"/>
                <w:szCs w:val="23"/>
              </w:rPr>
            </w:pPr>
            <w:r>
              <w:rPr>
                <w:rFonts w:ascii="SimSun" w:hAnsi="SimSun" w:eastAsia="SimSun" w:cs="SimSun"/>
                <w:sz w:val="23"/>
                <w:szCs w:val="23"/>
                <w:spacing w:val="5"/>
              </w:rPr>
              <w:t>备注</w:t>
            </w:r>
          </w:p>
        </w:tc>
      </w:tr>
      <w:tr>
        <w:trPr>
          <w:trHeight w:val="539" w:hRule="atLeast"/>
        </w:trPr>
        <w:tc>
          <w:tcPr>
            <w:tcW w:w="814" w:type="dxa"/>
            <w:vAlign w:val="top"/>
          </w:tcPr>
          <w:p>
            <w:pPr>
              <w:ind w:left="334"/>
              <w:spacing w:before="168" w:line="184" w:lineRule="auto"/>
              <w:rPr>
                <w:rFonts w:ascii="SimSun" w:hAnsi="SimSun" w:eastAsia="SimSun" w:cs="SimSun"/>
                <w:sz w:val="23"/>
                <w:szCs w:val="23"/>
              </w:rPr>
            </w:pPr>
            <w:r>
              <w:rPr>
                <w:rFonts w:ascii="SimSun" w:hAnsi="SimSun" w:eastAsia="SimSun" w:cs="SimSun"/>
                <w:sz w:val="23"/>
                <w:szCs w:val="23"/>
              </w:rPr>
              <w:t>1</w:t>
            </w:r>
          </w:p>
        </w:tc>
        <w:tc>
          <w:tcPr>
            <w:tcW w:w="2197" w:type="dxa"/>
            <w:vAlign w:val="top"/>
          </w:tcPr>
          <w:p>
            <w:pPr>
              <w:ind w:left="280"/>
              <w:spacing w:before="100" w:line="219" w:lineRule="auto"/>
              <w:rPr>
                <w:rFonts w:ascii="SimSun" w:hAnsi="SimSun" w:eastAsia="SimSun" w:cs="SimSun"/>
                <w:sz w:val="23"/>
                <w:szCs w:val="23"/>
              </w:rPr>
            </w:pPr>
            <w:r>
              <w:rPr>
                <w:rFonts w:ascii="SimSun" w:hAnsi="SimSun" w:eastAsia="SimSun" w:cs="SimSun"/>
                <w:sz w:val="23"/>
                <w:szCs w:val="23"/>
                <w:spacing w:val="1"/>
              </w:rPr>
              <w:t>瓦斯突出参数仪</w:t>
            </w:r>
          </w:p>
        </w:tc>
        <w:tc>
          <w:tcPr>
            <w:tcW w:w="2058" w:type="dxa"/>
            <w:vAlign w:val="top"/>
          </w:tcPr>
          <w:p>
            <w:pPr>
              <w:ind w:left="844"/>
              <w:spacing w:before="219" w:line="183" w:lineRule="auto"/>
              <w:rPr>
                <w:rFonts w:ascii="SimSun" w:hAnsi="SimSun" w:eastAsia="SimSun" w:cs="SimSun"/>
                <w:sz w:val="23"/>
                <w:szCs w:val="23"/>
              </w:rPr>
            </w:pPr>
            <w:r>
              <w:rPr>
                <w:rFonts w:ascii="SimSun" w:hAnsi="SimSun" w:eastAsia="SimSun" w:cs="SimSun"/>
                <w:sz w:val="23"/>
                <w:szCs w:val="23"/>
                <w:spacing w:val="-1"/>
              </w:rPr>
              <w:t>WTC</w:t>
            </w:r>
          </w:p>
        </w:tc>
        <w:tc>
          <w:tcPr>
            <w:tcW w:w="1029" w:type="dxa"/>
            <w:vAlign w:val="top"/>
          </w:tcPr>
          <w:p>
            <w:pPr>
              <w:ind w:left="395"/>
              <w:spacing w:before="73" w:line="221" w:lineRule="auto"/>
              <w:rPr>
                <w:rFonts w:ascii="SimSun" w:hAnsi="SimSun" w:eastAsia="SimSun" w:cs="SimSun"/>
                <w:sz w:val="23"/>
                <w:szCs w:val="23"/>
              </w:rPr>
            </w:pPr>
            <w:r>
              <w:rPr>
                <w:rFonts w:ascii="SimSun" w:hAnsi="SimSun" w:eastAsia="SimSun" w:cs="SimSun"/>
                <w:sz w:val="23"/>
                <w:szCs w:val="23"/>
              </w:rPr>
              <w:t>台</w:t>
            </w:r>
          </w:p>
        </w:tc>
        <w:tc>
          <w:tcPr>
            <w:tcW w:w="1488" w:type="dxa"/>
            <w:vAlign w:val="top"/>
          </w:tcPr>
          <w:p>
            <w:pPr>
              <w:pStyle w:val="TableText"/>
              <w:rPr/>
            </w:pPr>
            <w:r/>
          </w:p>
        </w:tc>
        <w:tc>
          <w:tcPr>
            <w:tcW w:w="1513" w:type="dxa"/>
            <w:vAlign w:val="top"/>
          </w:tcPr>
          <w:p>
            <w:pPr>
              <w:pStyle w:val="TableText"/>
              <w:rPr/>
            </w:pPr>
            <w:r/>
          </w:p>
        </w:tc>
      </w:tr>
      <w:tr>
        <w:trPr>
          <w:trHeight w:val="729" w:hRule="atLeast"/>
        </w:trPr>
        <w:tc>
          <w:tcPr>
            <w:tcW w:w="814" w:type="dxa"/>
            <w:vAlign w:val="top"/>
          </w:tcPr>
          <w:p>
            <w:pPr>
              <w:ind w:left="334"/>
              <w:spacing w:before="310" w:line="183" w:lineRule="auto"/>
              <w:rPr>
                <w:rFonts w:ascii="SimSun" w:hAnsi="SimSun" w:eastAsia="SimSun" w:cs="SimSun"/>
                <w:sz w:val="23"/>
                <w:szCs w:val="23"/>
              </w:rPr>
            </w:pPr>
            <w:r>
              <w:rPr>
                <w:rFonts w:ascii="SimSun" w:hAnsi="SimSun" w:eastAsia="SimSun" w:cs="SimSun"/>
                <w:sz w:val="23"/>
                <w:szCs w:val="23"/>
              </w:rPr>
              <w:t>2</w:t>
            </w:r>
          </w:p>
        </w:tc>
        <w:tc>
          <w:tcPr>
            <w:tcW w:w="2197" w:type="dxa"/>
            <w:vAlign w:val="top"/>
          </w:tcPr>
          <w:p>
            <w:pPr>
              <w:ind w:left="509" w:right="185" w:hanging="339"/>
              <w:spacing w:before="113" w:line="238" w:lineRule="auto"/>
              <w:rPr>
                <w:rFonts w:ascii="SimSun" w:hAnsi="SimSun" w:eastAsia="SimSun" w:cs="SimSun"/>
                <w:sz w:val="23"/>
                <w:szCs w:val="23"/>
              </w:rPr>
            </w:pPr>
            <w:r>
              <w:rPr>
                <w:rFonts w:ascii="SimSun" w:hAnsi="SimSun" w:eastAsia="SimSun" w:cs="SimSun"/>
                <w:sz w:val="23"/>
                <w:szCs w:val="23"/>
                <w:spacing w:val="-2"/>
              </w:rPr>
              <w:t>钻孔瓦斯涌出初速</w:t>
            </w:r>
            <w:r>
              <w:rPr>
                <w:rFonts w:ascii="SimSun" w:hAnsi="SimSun" w:eastAsia="SimSun" w:cs="SimSun"/>
                <w:sz w:val="23"/>
                <w:szCs w:val="23"/>
                <w:spacing w:val="6"/>
              </w:rPr>
              <w:t xml:space="preserve"> </w:t>
            </w:r>
            <w:r>
              <w:rPr>
                <w:rFonts w:ascii="SimSun" w:hAnsi="SimSun" w:eastAsia="SimSun" w:cs="SimSun"/>
                <w:sz w:val="23"/>
                <w:szCs w:val="23"/>
                <w:spacing w:val="-2"/>
              </w:rPr>
              <w:t>度测定装置</w:t>
            </w:r>
          </w:p>
        </w:tc>
        <w:tc>
          <w:tcPr>
            <w:tcW w:w="2058" w:type="dxa"/>
            <w:vAlign w:val="top"/>
          </w:tcPr>
          <w:p>
            <w:pPr>
              <w:ind w:left="673"/>
              <w:spacing w:before="310" w:line="183" w:lineRule="auto"/>
              <w:rPr>
                <w:rFonts w:ascii="SimSun" w:hAnsi="SimSun" w:eastAsia="SimSun" w:cs="SimSun"/>
                <w:sz w:val="23"/>
                <w:szCs w:val="23"/>
              </w:rPr>
            </w:pPr>
            <w:r>
              <w:rPr>
                <w:rFonts w:ascii="SimSun" w:hAnsi="SimSun" w:eastAsia="SimSun" w:cs="SimSun"/>
                <w:sz w:val="23"/>
                <w:szCs w:val="23"/>
                <w:spacing w:val="-2"/>
              </w:rPr>
              <w:t>ZWC—2</w:t>
            </w:r>
          </w:p>
        </w:tc>
        <w:tc>
          <w:tcPr>
            <w:tcW w:w="1029" w:type="dxa"/>
            <w:vAlign w:val="top"/>
          </w:tcPr>
          <w:p>
            <w:pPr>
              <w:ind w:left="395"/>
              <w:spacing w:before="252" w:line="220" w:lineRule="auto"/>
              <w:rPr>
                <w:rFonts w:ascii="SimSun" w:hAnsi="SimSun" w:eastAsia="SimSun" w:cs="SimSun"/>
                <w:sz w:val="23"/>
                <w:szCs w:val="23"/>
              </w:rPr>
            </w:pPr>
            <w:r>
              <w:rPr>
                <w:rFonts w:ascii="SimSun" w:hAnsi="SimSun" w:eastAsia="SimSun" w:cs="SimSun"/>
                <w:sz w:val="23"/>
                <w:szCs w:val="23"/>
              </w:rPr>
              <w:t>套</w:t>
            </w:r>
          </w:p>
        </w:tc>
        <w:tc>
          <w:tcPr>
            <w:tcW w:w="1488" w:type="dxa"/>
            <w:vAlign w:val="top"/>
          </w:tcPr>
          <w:p>
            <w:pPr>
              <w:pStyle w:val="TableText"/>
              <w:rPr/>
            </w:pPr>
            <w:r/>
          </w:p>
        </w:tc>
        <w:tc>
          <w:tcPr>
            <w:tcW w:w="1513" w:type="dxa"/>
            <w:vAlign w:val="top"/>
          </w:tcPr>
          <w:p>
            <w:pPr>
              <w:pStyle w:val="TableText"/>
              <w:rPr/>
            </w:pPr>
            <w:r/>
          </w:p>
        </w:tc>
      </w:tr>
      <w:tr>
        <w:trPr>
          <w:trHeight w:val="559" w:hRule="atLeast"/>
        </w:trPr>
        <w:tc>
          <w:tcPr>
            <w:tcW w:w="814" w:type="dxa"/>
            <w:vAlign w:val="top"/>
          </w:tcPr>
          <w:p>
            <w:pPr>
              <w:ind w:left="334"/>
              <w:spacing w:before="171" w:line="183" w:lineRule="auto"/>
              <w:rPr>
                <w:rFonts w:ascii="SimSun" w:hAnsi="SimSun" w:eastAsia="SimSun" w:cs="SimSun"/>
                <w:sz w:val="23"/>
                <w:szCs w:val="23"/>
              </w:rPr>
            </w:pPr>
            <w:r>
              <w:rPr>
                <w:rFonts w:ascii="SimSun" w:hAnsi="SimSun" w:eastAsia="SimSun" w:cs="SimSun"/>
                <w:sz w:val="23"/>
                <w:szCs w:val="23"/>
              </w:rPr>
              <w:t>3</w:t>
            </w:r>
          </w:p>
        </w:tc>
        <w:tc>
          <w:tcPr>
            <w:tcW w:w="2197" w:type="dxa"/>
            <w:vAlign w:val="top"/>
          </w:tcPr>
          <w:p>
            <w:pPr>
              <w:ind w:left="631"/>
              <w:spacing w:before="91" w:line="219" w:lineRule="auto"/>
              <w:rPr>
                <w:rFonts w:ascii="SimSun" w:hAnsi="SimSun" w:eastAsia="SimSun" w:cs="SimSun"/>
                <w:sz w:val="23"/>
                <w:szCs w:val="23"/>
              </w:rPr>
            </w:pPr>
            <w:r>
              <w:rPr>
                <w:rFonts w:ascii="SimSun" w:hAnsi="SimSun" w:eastAsia="SimSun" w:cs="SimSun"/>
                <w:sz w:val="23"/>
                <w:szCs w:val="23"/>
                <w:spacing w:val="-3"/>
              </w:rPr>
              <w:t>液压钻机</w:t>
            </w:r>
          </w:p>
        </w:tc>
        <w:tc>
          <w:tcPr>
            <w:tcW w:w="2058" w:type="dxa"/>
            <w:vAlign w:val="top"/>
          </w:tcPr>
          <w:p>
            <w:pPr>
              <w:ind w:left="563"/>
              <w:spacing w:before="170" w:line="184" w:lineRule="auto"/>
              <w:rPr>
                <w:rFonts w:ascii="SimSun" w:hAnsi="SimSun" w:eastAsia="SimSun" w:cs="SimSun"/>
                <w:sz w:val="23"/>
                <w:szCs w:val="23"/>
              </w:rPr>
            </w:pPr>
            <w:r>
              <w:rPr>
                <w:rFonts w:ascii="SimSun" w:hAnsi="SimSun" w:eastAsia="SimSun" w:cs="SimSun"/>
                <w:sz w:val="23"/>
                <w:szCs w:val="23"/>
                <w:spacing w:val="-2"/>
              </w:rPr>
              <w:t>ZYG-150B</w:t>
            </w:r>
          </w:p>
        </w:tc>
        <w:tc>
          <w:tcPr>
            <w:tcW w:w="1029" w:type="dxa"/>
            <w:vAlign w:val="top"/>
          </w:tcPr>
          <w:p>
            <w:pPr>
              <w:ind w:left="395"/>
              <w:spacing w:before="95" w:line="221" w:lineRule="auto"/>
              <w:rPr>
                <w:rFonts w:ascii="SimSun" w:hAnsi="SimSun" w:eastAsia="SimSun" w:cs="SimSun"/>
                <w:sz w:val="23"/>
                <w:szCs w:val="23"/>
              </w:rPr>
            </w:pPr>
            <w:r>
              <w:rPr>
                <w:rFonts w:ascii="SimSun" w:hAnsi="SimSun" w:eastAsia="SimSun" w:cs="SimSun"/>
                <w:sz w:val="23"/>
                <w:szCs w:val="23"/>
              </w:rPr>
              <w:t>台</w:t>
            </w:r>
          </w:p>
        </w:tc>
        <w:tc>
          <w:tcPr>
            <w:tcW w:w="1488" w:type="dxa"/>
            <w:vAlign w:val="top"/>
          </w:tcPr>
          <w:p>
            <w:pPr>
              <w:pStyle w:val="TableText"/>
              <w:rPr/>
            </w:pPr>
            <w:r/>
          </w:p>
        </w:tc>
        <w:tc>
          <w:tcPr>
            <w:tcW w:w="1513" w:type="dxa"/>
            <w:vAlign w:val="top"/>
          </w:tcPr>
          <w:p>
            <w:pPr>
              <w:pStyle w:val="TableText"/>
              <w:rPr/>
            </w:pPr>
            <w:r/>
          </w:p>
        </w:tc>
      </w:tr>
      <w:tr>
        <w:trPr>
          <w:trHeight w:val="539" w:hRule="atLeast"/>
        </w:trPr>
        <w:tc>
          <w:tcPr>
            <w:tcW w:w="814" w:type="dxa"/>
            <w:vAlign w:val="top"/>
          </w:tcPr>
          <w:p>
            <w:pPr>
              <w:ind w:left="334"/>
              <w:spacing w:before="182" w:line="183" w:lineRule="auto"/>
              <w:rPr>
                <w:rFonts w:ascii="SimSun" w:hAnsi="SimSun" w:eastAsia="SimSun" w:cs="SimSun"/>
                <w:sz w:val="23"/>
                <w:szCs w:val="23"/>
              </w:rPr>
            </w:pPr>
            <w:r>
              <w:rPr>
                <w:rFonts w:ascii="SimSun" w:hAnsi="SimSun" w:eastAsia="SimSun" w:cs="SimSun"/>
                <w:sz w:val="23"/>
                <w:szCs w:val="23"/>
              </w:rPr>
              <w:t>4</w:t>
            </w:r>
          </w:p>
        </w:tc>
        <w:tc>
          <w:tcPr>
            <w:tcW w:w="2197" w:type="dxa"/>
            <w:vAlign w:val="top"/>
          </w:tcPr>
          <w:p>
            <w:pPr>
              <w:ind w:left="400"/>
              <w:spacing w:before="93" w:line="219" w:lineRule="auto"/>
              <w:rPr>
                <w:rFonts w:ascii="SimSun" w:hAnsi="SimSun" w:eastAsia="SimSun" w:cs="SimSun"/>
                <w:sz w:val="23"/>
                <w:szCs w:val="23"/>
              </w:rPr>
            </w:pPr>
            <w:r>
              <w:rPr>
                <w:rFonts w:ascii="SimSun" w:hAnsi="SimSun" w:eastAsia="SimSun" w:cs="SimSun"/>
                <w:sz w:val="23"/>
                <w:szCs w:val="23"/>
                <w:spacing w:val="1"/>
              </w:rPr>
              <w:t>隔离式自救器</w:t>
            </w:r>
          </w:p>
        </w:tc>
        <w:tc>
          <w:tcPr>
            <w:tcW w:w="2058" w:type="dxa"/>
            <w:vAlign w:val="top"/>
          </w:tcPr>
          <w:p>
            <w:pPr>
              <w:ind w:left="383"/>
              <w:spacing w:before="97" w:line="222" w:lineRule="auto"/>
              <w:rPr>
                <w:rFonts w:ascii="SimSun" w:hAnsi="SimSun" w:eastAsia="SimSun" w:cs="SimSun"/>
                <w:sz w:val="23"/>
                <w:szCs w:val="23"/>
              </w:rPr>
            </w:pPr>
            <w:r>
              <w:rPr>
                <w:rFonts w:ascii="SimSun" w:hAnsi="SimSun" w:eastAsia="SimSun" w:cs="SimSun"/>
                <w:sz w:val="23"/>
                <w:szCs w:val="23"/>
                <w:spacing w:val="20"/>
                <w:w w:val="109"/>
              </w:rPr>
              <w:t>ZH30(C)型</w:t>
            </w:r>
          </w:p>
        </w:tc>
        <w:tc>
          <w:tcPr>
            <w:tcW w:w="1029" w:type="dxa"/>
            <w:vAlign w:val="top"/>
          </w:tcPr>
          <w:p>
            <w:pPr>
              <w:ind w:left="395"/>
              <w:spacing w:before="86" w:line="221" w:lineRule="auto"/>
              <w:rPr>
                <w:rFonts w:ascii="SimSun" w:hAnsi="SimSun" w:eastAsia="SimSun" w:cs="SimSun"/>
                <w:sz w:val="23"/>
                <w:szCs w:val="23"/>
              </w:rPr>
            </w:pPr>
            <w:r>
              <w:rPr>
                <w:rFonts w:ascii="SimSun" w:hAnsi="SimSun" w:eastAsia="SimSun" w:cs="SimSun"/>
                <w:sz w:val="23"/>
                <w:szCs w:val="23"/>
              </w:rPr>
              <w:t>台</w:t>
            </w:r>
          </w:p>
        </w:tc>
        <w:tc>
          <w:tcPr>
            <w:tcW w:w="1488" w:type="dxa"/>
            <w:vAlign w:val="top"/>
          </w:tcPr>
          <w:p>
            <w:pPr>
              <w:pStyle w:val="TableText"/>
              <w:rPr/>
            </w:pPr>
            <w:r/>
          </w:p>
        </w:tc>
        <w:tc>
          <w:tcPr>
            <w:tcW w:w="1513" w:type="dxa"/>
            <w:vAlign w:val="top"/>
          </w:tcPr>
          <w:p>
            <w:pPr>
              <w:pStyle w:val="TableText"/>
              <w:rPr/>
            </w:pPr>
            <w:r/>
          </w:p>
        </w:tc>
      </w:tr>
      <w:tr>
        <w:trPr>
          <w:trHeight w:val="939" w:hRule="atLeast"/>
        </w:trPr>
        <w:tc>
          <w:tcPr>
            <w:tcW w:w="814" w:type="dxa"/>
            <w:vAlign w:val="top"/>
          </w:tcPr>
          <w:p>
            <w:pPr>
              <w:pStyle w:val="TableText"/>
              <w:spacing w:line="348" w:lineRule="auto"/>
              <w:rPr/>
            </w:pPr>
            <w:r/>
          </w:p>
          <w:p>
            <w:pPr>
              <w:ind w:left="334"/>
              <w:spacing w:before="74" w:line="182" w:lineRule="auto"/>
              <w:rPr>
                <w:rFonts w:ascii="SimSun" w:hAnsi="SimSun" w:eastAsia="SimSun" w:cs="SimSun"/>
                <w:sz w:val="23"/>
                <w:szCs w:val="23"/>
              </w:rPr>
            </w:pPr>
            <w:r>
              <w:rPr>
                <w:rFonts w:ascii="SimSun" w:hAnsi="SimSun" w:eastAsia="SimSun" w:cs="SimSun"/>
                <w:sz w:val="23"/>
                <w:szCs w:val="23"/>
              </w:rPr>
              <w:t>5</w:t>
            </w:r>
          </w:p>
        </w:tc>
        <w:tc>
          <w:tcPr>
            <w:tcW w:w="2197" w:type="dxa"/>
            <w:vAlign w:val="top"/>
          </w:tcPr>
          <w:p>
            <w:pPr>
              <w:ind w:left="170"/>
              <w:spacing w:before="44" w:line="461" w:lineRule="exact"/>
              <w:rPr>
                <w:rFonts w:ascii="SimSun" w:hAnsi="SimSun" w:eastAsia="SimSun" w:cs="SimSun"/>
                <w:sz w:val="23"/>
                <w:szCs w:val="23"/>
              </w:rPr>
            </w:pPr>
            <w:r>
              <w:rPr>
                <w:rFonts w:ascii="SimSun" w:hAnsi="SimSun" w:eastAsia="SimSun" w:cs="SimSun"/>
                <w:sz w:val="23"/>
                <w:szCs w:val="23"/>
                <w:spacing w:val="1"/>
                <w:position w:val="17"/>
              </w:rPr>
              <w:t>瓦斯含量直接测定</w:t>
            </w:r>
          </w:p>
          <w:p>
            <w:pPr>
              <w:ind w:left="860"/>
              <w:spacing w:line="220" w:lineRule="auto"/>
              <w:rPr>
                <w:rFonts w:ascii="SimSun" w:hAnsi="SimSun" w:eastAsia="SimSun" w:cs="SimSun"/>
                <w:sz w:val="23"/>
                <w:szCs w:val="23"/>
              </w:rPr>
            </w:pPr>
            <w:r>
              <w:rPr>
                <w:rFonts w:ascii="SimSun" w:hAnsi="SimSun" w:eastAsia="SimSun" w:cs="SimSun"/>
                <w:sz w:val="23"/>
                <w:szCs w:val="23"/>
                <w:spacing w:val="-3"/>
              </w:rPr>
              <w:t>装置</w:t>
            </w:r>
          </w:p>
        </w:tc>
        <w:tc>
          <w:tcPr>
            <w:tcW w:w="2058" w:type="dxa"/>
            <w:vAlign w:val="top"/>
          </w:tcPr>
          <w:p>
            <w:pPr>
              <w:pStyle w:val="TableText"/>
              <w:spacing w:line="346" w:lineRule="auto"/>
              <w:rPr/>
            </w:pPr>
            <w:r/>
          </w:p>
          <w:p>
            <w:pPr>
              <w:ind w:left="844"/>
              <w:spacing w:before="75" w:line="183" w:lineRule="auto"/>
              <w:rPr>
                <w:rFonts w:ascii="SimSun" w:hAnsi="SimSun" w:eastAsia="SimSun" w:cs="SimSun"/>
                <w:sz w:val="23"/>
                <w:szCs w:val="23"/>
              </w:rPr>
            </w:pPr>
            <w:r>
              <w:rPr>
                <w:rFonts w:ascii="SimSun" w:hAnsi="SimSun" w:eastAsia="SimSun" w:cs="SimSun"/>
                <w:sz w:val="23"/>
                <w:szCs w:val="23"/>
                <w:spacing w:val="-2"/>
              </w:rPr>
              <w:t>DGC</w:t>
            </w:r>
          </w:p>
        </w:tc>
        <w:tc>
          <w:tcPr>
            <w:tcW w:w="1029" w:type="dxa"/>
            <w:vAlign w:val="top"/>
          </w:tcPr>
          <w:p>
            <w:pPr>
              <w:pStyle w:val="TableText"/>
              <w:spacing w:line="288" w:lineRule="auto"/>
              <w:rPr/>
            </w:pPr>
            <w:r/>
          </w:p>
          <w:p>
            <w:pPr>
              <w:ind w:left="395"/>
              <w:spacing w:before="75" w:line="220" w:lineRule="auto"/>
              <w:rPr>
                <w:rFonts w:ascii="SimSun" w:hAnsi="SimSun" w:eastAsia="SimSun" w:cs="SimSun"/>
                <w:sz w:val="23"/>
                <w:szCs w:val="23"/>
              </w:rPr>
            </w:pPr>
            <w:r>
              <w:rPr>
                <w:rFonts w:ascii="SimSun" w:hAnsi="SimSun" w:eastAsia="SimSun" w:cs="SimSun"/>
                <w:sz w:val="23"/>
                <w:szCs w:val="23"/>
              </w:rPr>
              <w:t>套</w:t>
            </w:r>
          </w:p>
        </w:tc>
        <w:tc>
          <w:tcPr>
            <w:tcW w:w="1488" w:type="dxa"/>
            <w:vAlign w:val="top"/>
          </w:tcPr>
          <w:p>
            <w:pPr>
              <w:pStyle w:val="TableText"/>
              <w:rPr/>
            </w:pPr>
            <w:r/>
          </w:p>
        </w:tc>
        <w:tc>
          <w:tcPr>
            <w:tcW w:w="1513" w:type="dxa"/>
            <w:vAlign w:val="top"/>
          </w:tcPr>
          <w:p>
            <w:pPr>
              <w:pStyle w:val="TableText"/>
              <w:rPr/>
            </w:pPr>
            <w:r/>
          </w:p>
        </w:tc>
      </w:tr>
      <w:tr>
        <w:trPr>
          <w:trHeight w:val="549" w:hRule="atLeast"/>
        </w:trPr>
        <w:tc>
          <w:tcPr>
            <w:tcW w:w="814" w:type="dxa"/>
            <w:vAlign w:val="top"/>
          </w:tcPr>
          <w:p>
            <w:pPr>
              <w:ind w:left="334"/>
              <w:spacing w:before="154" w:line="183" w:lineRule="auto"/>
              <w:rPr>
                <w:rFonts w:ascii="SimSun" w:hAnsi="SimSun" w:eastAsia="SimSun" w:cs="SimSun"/>
                <w:sz w:val="23"/>
                <w:szCs w:val="23"/>
              </w:rPr>
            </w:pPr>
            <w:r>
              <w:rPr>
                <w:rFonts w:ascii="SimSun" w:hAnsi="SimSun" w:eastAsia="SimSun" w:cs="SimSun"/>
                <w:sz w:val="23"/>
                <w:szCs w:val="23"/>
              </w:rPr>
              <w:t>6</w:t>
            </w:r>
          </w:p>
        </w:tc>
        <w:tc>
          <w:tcPr>
            <w:tcW w:w="2197" w:type="dxa"/>
            <w:vAlign w:val="top"/>
          </w:tcPr>
          <w:p>
            <w:pPr>
              <w:ind w:left="510"/>
              <w:spacing w:before="105" w:line="219" w:lineRule="auto"/>
              <w:rPr>
                <w:rFonts w:ascii="SimSun" w:hAnsi="SimSun" w:eastAsia="SimSun" w:cs="SimSun"/>
                <w:sz w:val="23"/>
                <w:szCs w:val="23"/>
              </w:rPr>
            </w:pPr>
            <w:r>
              <w:rPr>
                <w:rFonts w:ascii="SimSun" w:hAnsi="SimSun" w:eastAsia="SimSun" w:cs="SimSun"/>
                <w:sz w:val="23"/>
                <w:szCs w:val="23"/>
                <w:spacing w:val="2"/>
              </w:rPr>
              <w:t>瓦斯解吸仪</w:t>
            </w:r>
          </w:p>
        </w:tc>
        <w:tc>
          <w:tcPr>
            <w:tcW w:w="2058" w:type="dxa"/>
            <w:vAlign w:val="top"/>
          </w:tcPr>
          <w:p>
            <w:pPr>
              <w:ind w:left="794"/>
              <w:spacing w:before="164" w:line="183" w:lineRule="auto"/>
              <w:rPr>
                <w:rFonts w:ascii="SimSun" w:hAnsi="SimSun" w:eastAsia="SimSun" w:cs="SimSun"/>
                <w:sz w:val="23"/>
                <w:szCs w:val="23"/>
              </w:rPr>
            </w:pPr>
            <w:r>
              <w:rPr>
                <w:rFonts w:ascii="SimSun" w:hAnsi="SimSun" w:eastAsia="SimSun" w:cs="SimSun"/>
                <w:sz w:val="23"/>
                <w:szCs w:val="23"/>
                <w:spacing w:val="-1"/>
              </w:rPr>
              <w:t>MD-2</w:t>
            </w:r>
          </w:p>
        </w:tc>
        <w:tc>
          <w:tcPr>
            <w:tcW w:w="1029" w:type="dxa"/>
            <w:vAlign w:val="top"/>
          </w:tcPr>
          <w:p>
            <w:pPr>
              <w:ind w:left="395"/>
              <w:spacing w:before="68" w:line="221" w:lineRule="auto"/>
              <w:rPr>
                <w:rFonts w:ascii="SimSun" w:hAnsi="SimSun" w:eastAsia="SimSun" w:cs="SimSun"/>
                <w:sz w:val="23"/>
                <w:szCs w:val="23"/>
              </w:rPr>
            </w:pPr>
            <w:r>
              <w:rPr>
                <w:rFonts w:ascii="SimSun" w:hAnsi="SimSun" w:eastAsia="SimSun" w:cs="SimSun"/>
                <w:sz w:val="23"/>
                <w:szCs w:val="23"/>
              </w:rPr>
              <w:t>台</w:t>
            </w:r>
          </w:p>
        </w:tc>
        <w:tc>
          <w:tcPr>
            <w:tcW w:w="1488" w:type="dxa"/>
            <w:vAlign w:val="top"/>
          </w:tcPr>
          <w:p>
            <w:pPr>
              <w:pStyle w:val="TableText"/>
              <w:rPr/>
            </w:pPr>
            <w:r/>
          </w:p>
        </w:tc>
        <w:tc>
          <w:tcPr>
            <w:tcW w:w="1513" w:type="dxa"/>
            <w:vAlign w:val="top"/>
          </w:tcPr>
          <w:p>
            <w:pPr>
              <w:pStyle w:val="TableText"/>
              <w:rPr/>
            </w:pPr>
            <w:r/>
          </w:p>
        </w:tc>
      </w:tr>
      <w:tr>
        <w:trPr>
          <w:trHeight w:val="629" w:hRule="atLeast"/>
        </w:trPr>
        <w:tc>
          <w:tcPr>
            <w:tcW w:w="814" w:type="dxa"/>
            <w:vAlign w:val="top"/>
          </w:tcPr>
          <w:p>
            <w:pPr>
              <w:ind w:left="334"/>
              <w:spacing w:before="267" w:line="182" w:lineRule="auto"/>
              <w:rPr>
                <w:rFonts w:ascii="SimSun" w:hAnsi="SimSun" w:eastAsia="SimSun" w:cs="SimSun"/>
                <w:sz w:val="23"/>
                <w:szCs w:val="23"/>
              </w:rPr>
            </w:pPr>
            <w:r>
              <w:rPr>
                <w:rFonts w:ascii="SimSun" w:hAnsi="SimSun" w:eastAsia="SimSun" w:cs="SimSun"/>
                <w:sz w:val="23"/>
                <w:szCs w:val="23"/>
              </w:rPr>
              <w:t>7</w:t>
            </w:r>
          </w:p>
        </w:tc>
        <w:tc>
          <w:tcPr>
            <w:tcW w:w="2197" w:type="dxa"/>
            <w:vAlign w:val="top"/>
          </w:tcPr>
          <w:p>
            <w:pPr>
              <w:ind w:left="970" w:right="160" w:hanging="800"/>
              <w:spacing w:before="65" w:line="222" w:lineRule="auto"/>
              <w:rPr>
                <w:rFonts w:ascii="SimSun" w:hAnsi="SimSun" w:eastAsia="SimSun" w:cs="SimSun"/>
                <w:sz w:val="23"/>
                <w:szCs w:val="23"/>
              </w:rPr>
            </w:pPr>
            <w:r>
              <w:rPr>
                <w:rFonts w:ascii="SimSun" w:hAnsi="SimSun" w:eastAsia="SimSun" w:cs="SimSun"/>
                <w:sz w:val="23"/>
                <w:szCs w:val="23"/>
                <w:spacing w:val="1"/>
              </w:rPr>
              <w:t>煤坚固性系数测定</w:t>
            </w:r>
            <w:r>
              <w:rPr>
                <w:rFonts w:ascii="SimSun" w:hAnsi="SimSun" w:eastAsia="SimSun" w:cs="SimSun"/>
                <w:sz w:val="23"/>
                <w:szCs w:val="23"/>
                <w:spacing w:val="6"/>
              </w:rPr>
              <w:t xml:space="preserve"> </w:t>
            </w:r>
            <w:r>
              <w:rPr>
                <w:rFonts w:ascii="SimSun" w:hAnsi="SimSun" w:eastAsia="SimSun" w:cs="SimSun"/>
                <w:sz w:val="23"/>
                <w:szCs w:val="23"/>
              </w:rPr>
              <w:t>仪</w:t>
            </w:r>
          </w:p>
        </w:tc>
        <w:tc>
          <w:tcPr>
            <w:tcW w:w="2058" w:type="dxa"/>
            <w:vAlign w:val="top"/>
          </w:tcPr>
          <w:p>
            <w:pPr>
              <w:pStyle w:val="TableText"/>
              <w:rPr/>
            </w:pPr>
            <w:r/>
          </w:p>
        </w:tc>
        <w:tc>
          <w:tcPr>
            <w:tcW w:w="1029" w:type="dxa"/>
            <w:vAlign w:val="top"/>
          </w:tcPr>
          <w:p>
            <w:pPr>
              <w:pStyle w:val="TableText"/>
              <w:rPr/>
            </w:pPr>
            <w:r/>
          </w:p>
        </w:tc>
        <w:tc>
          <w:tcPr>
            <w:tcW w:w="1488" w:type="dxa"/>
            <w:vAlign w:val="top"/>
          </w:tcPr>
          <w:p>
            <w:pPr>
              <w:pStyle w:val="TableText"/>
              <w:rPr/>
            </w:pPr>
            <w:r/>
          </w:p>
        </w:tc>
        <w:tc>
          <w:tcPr>
            <w:tcW w:w="1513" w:type="dxa"/>
            <w:vAlign w:val="top"/>
          </w:tcPr>
          <w:p>
            <w:pPr>
              <w:pStyle w:val="TableText"/>
              <w:rPr/>
            </w:pPr>
            <w:r/>
          </w:p>
        </w:tc>
      </w:tr>
      <w:tr>
        <w:trPr>
          <w:trHeight w:val="540" w:hRule="atLeast"/>
        </w:trPr>
        <w:tc>
          <w:tcPr>
            <w:tcW w:w="814" w:type="dxa"/>
            <w:vAlign w:val="top"/>
          </w:tcPr>
          <w:p>
            <w:pPr>
              <w:ind w:left="334"/>
              <w:spacing w:before="226" w:line="183" w:lineRule="auto"/>
              <w:rPr>
                <w:rFonts w:ascii="SimSun" w:hAnsi="SimSun" w:eastAsia="SimSun" w:cs="SimSun"/>
                <w:sz w:val="23"/>
                <w:szCs w:val="23"/>
              </w:rPr>
            </w:pPr>
            <w:r>
              <w:rPr>
                <w:rFonts w:ascii="SimSun" w:hAnsi="SimSun" w:eastAsia="SimSun" w:cs="SimSun"/>
                <w:sz w:val="23"/>
                <w:szCs w:val="23"/>
              </w:rPr>
              <w:t>8</w:t>
            </w:r>
          </w:p>
        </w:tc>
        <w:tc>
          <w:tcPr>
            <w:tcW w:w="2197" w:type="dxa"/>
            <w:vAlign w:val="top"/>
          </w:tcPr>
          <w:p>
            <w:pPr>
              <w:ind w:left="510"/>
              <w:spacing w:before="167" w:line="219" w:lineRule="auto"/>
              <w:rPr>
                <w:rFonts w:ascii="SimSun" w:hAnsi="SimSun" w:eastAsia="SimSun" w:cs="SimSun"/>
                <w:sz w:val="23"/>
                <w:szCs w:val="23"/>
              </w:rPr>
            </w:pPr>
            <w:r>
              <w:rPr>
                <w:rFonts w:ascii="SimSun" w:hAnsi="SimSun" w:eastAsia="SimSun" w:cs="SimSun"/>
                <w:sz w:val="23"/>
                <w:szCs w:val="23"/>
                <w:spacing w:val="2"/>
              </w:rPr>
              <w:t>轨迹测定仪</w:t>
            </w:r>
          </w:p>
        </w:tc>
        <w:tc>
          <w:tcPr>
            <w:tcW w:w="2058" w:type="dxa"/>
            <w:vAlign w:val="top"/>
          </w:tcPr>
          <w:p>
            <w:pPr>
              <w:pStyle w:val="TableText"/>
              <w:rPr/>
            </w:pPr>
            <w:r/>
          </w:p>
        </w:tc>
        <w:tc>
          <w:tcPr>
            <w:tcW w:w="1029" w:type="dxa"/>
            <w:vAlign w:val="top"/>
          </w:tcPr>
          <w:p>
            <w:pPr>
              <w:pStyle w:val="TableText"/>
              <w:rPr/>
            </w:pPr>
            <w:r/>
          </w:p>
        </w:tc>
        <w:tc>
          <w:tcPr>
            <w:tcW w:w="1488" w:type="dxa"/>
            <w:vAlign w:val="top"/>
          </w:tcPr>
          <w:p>
            <w:pPr>
              <w:pStyle w:val="TableText"/>
              <w:rPr/>
            </w:pPr>
            <w:r/>
          </w:p>
        </w:tc>
        <w:tc>
          <w:tcPr>
            <w:tcW w:w="1513" w:type="dxa"/>
            <w:vAlign w:val="top"/>
          </w:tcPr>
          <w:p>
            <w:pPr>
              <w:pStyle w:val="TableText"/>
              <w:rPr/>
            </w:pPr>
            <w:r/>
          </w:p>
        </w:tc>
      </w:tr>
      <w:tr>
        <w:trPr>
          <w:trHeight w:val="549" w:hRule="atLeast"/>
        </w:trPr>
        <w:tc>
          <w:tcPr>
            <w:tcW w:w="814" w:type="dxa"/>
            <w:vAlign w:val="top"/>
          </w:tcPr>
          <w:p>
            <w:pPr>
              <w:pStyle w:val="TableText"/>
              <w:rPr/>
            </w:pPr>
            <w:r/>
          </w:p>
        </w:tc>
        <w:tc>
          <w:tcPr>
            <w:tcW w:w="2197" w:type="dxa"/>
            <w:vAlign w:val="top"/>
          </w:tcPr>
          <w:p>
            <w:pPr>
              <w:pStyle w:val="TableText"/>
              <w:rPr/>
            </w:pPr>
            <w:r/>
          </w:p>
        </w:tc>
        <w:tc>
          <w:tcPr>
            <w:tcW w:w="2058" w:type="dxa"/>
            <w:vAlign w:val="top"/>
          </w:tcPr>
          <w:p>
            <w:pPr>
              <w:pStyle w:val="TableText"/>
              <w:rPr/>
            </w:pPr>
            <w:r/>
          </w:p>
        </w:tc>
        <w:tc>
          <w:tcPr>
            <w:tcW w:w="1029" w:type="dxa"/>
            <w:vAlign w:val="top"/>
          </w:tcPr>
          <w:p>
            <w:pPr>
              <w:pStyle w:val="TableText"/>
              <w:rPr/>
            </w:pPr>
            <w:r/>
          </w:p>
        </w:tc>
        <w:tc>
          <w:tcPr>
            <w:tcW w:w="1488" w:type="dxa"/>
            <w:vAlign w:val="top"/>
          </w:tcPr>
          <w:p>
            <w:pPr>
              <w:pStyle w:val="TableText"/>
              <w:rPr/>
            </w:pPr>
            <w:r/>
          </w:p>
        </w:tc>
        <w:tc>
          <w:tcPr>
            <w:tcW w:w="1513" w:type="dxa"/>
            <w:vAlign w:val="top"/>
          </w:tcPr>
          <w:p>
            <w:pPr>
              <w:pStyle w:val="TableText"/>
              <w:rPr/>
            </w:pPr>
            <w:r/>
          </w:p>
        </w:tc>
      </w:tr>
      <w:tr>
        <w:trPr>
          <w:trHeight w:val="559" w:hRule="atLeast"/>
        </w:trPr>
        <w:tc>
          <w:tcPr>
            <w:tcW w:w="814" w:type="dxa"/>
            <w:vAlign w:val="top"/>
          </w:tcPr>
          <w:p>
            <w:pPr>
              <w:pStyle w:val="TableText"/>
              <w:rPr/>
            </w:pPr>
            <w:r/>
          </w:p>
        </w:tc>
        <w:tc>
          <w:tcPr>
            <w:tcW w:w="2197" w:type="dxa"/>
            <w:vAlign w:val="top"/>
          </w:tcPr>
          <w:p>
            <w:pPr>
              <w:pStyle w:val="TableText"/>
              <w:rPr/>
            </w:pPr>
            <w:r/>
          </w:p>
        </w:tc>
        <w:tc>
          <w:tcPr>
            <w:tcW w:w="2058" w:type="dxa"/>
            <w:vAlign w:val="top"/>
          </w:tcPr>
          <w:p>
            <w:pPr>
              <w:pStyle w:val="TableText"/>
              <w:rPr/>
            </w:pPr>
            <w:r/>
          </w:p>
        </w:tc>
        <w:tc>
          <w:tcPr>
            <w:tcW w:w="1029" w:type="dxa"/>
            <w:vAlign w:val="top"/>
          </w:tcPr>
          <w:p>
            <w:pPr>
              <w:pStyle w:val="TableText"/>
              <w:rPr/>
            </w:pPr>
            <w:r/>
          </w:p>
        </w:tc>
        <w:tc>
          <w:tcPr>
            <w:tcW w:w="1488" w:type="dxa"/>
            <w:vAlign w:val="top"/>
          </w:tcPr>
          <w:p>
            <w:pPr>
              <w:pStyle w:val="TableText"/>
              <w:rPr/>
            </w:pPr>
            <w:r/>
          </w:p>
        </w:tc>
        <w:tc>
          <w:tcPr>
            <w:tcW w:w="1513" w:type="dxa"/>
            <w:vAlign w:val="top"/>
          </w:tcPr>
          <w:p>
            <w:pPr>
              <w:pStyle w:val="TableText"/>
              <w:rPr/>
            </w:pPr>
            <w:r/>
          </w:p>
        </w:tc>
      </w:tr>
      <w:tr>
        <w:trPr>
          <w:trHeight w:val="554" w:hRule="atLeast"/>
        </w:trPr>
        <w:tc>
          <w:tcPr>
            <w:tcW w:w="814" w:type="dxa"/>
            <w:vAlign w:val="top"/>
          </w:tcPr>
          <w:p>
            <w:pPr>
              <w:pStyle w:val="TableText"/>
              <w:rPr/>
            </w:pPr>
            <w:r/>
          </w:p>
        </w:tc>
        <w:tc>
          <w:tcPr>
            <w:tcW w:w="2197" w:type="dxa"/>
            <w:vAlign w:val="top"/>
          </w:tcPr>
          <w:p>
            <w:pPr>
              <w:pStyle w:val="TableText"/>
              <w:rPr/>
            </w:pPr>
            <w:r/>
          </w:p>
        </w:tc>
        <w:tc>
          <w:tcPr>
            <w:tcW w:w="2058" w:type="dxa"/>
            <w:vAlign w:val="top"/>
          </w:tcPr>
          <w:p>
            <w:pPr>
              <w:pStyle w:val="TableText"/>
              <w:rPr/>
            </w:pPr>
            <w:r/>
          </w:p>
        </w:tc>
        <w:tc>
          <w:tcPr>
            <w:tcW w:w="1029" w:type="dxa"/>
            <w:vAlign w:val="top"/>
          </w:tcPr>
          <w:p>
            <w:pPr>
              <w:pStyle w:val="TableText"/>
              <w:rPr/>
            </w:pPr>
            <w:r/>
          </w:p>
        </w:tc>
        <w:tc>
          <w:tcPr>
            <w:tcW w:w="1488" w:type="dxa"/>
            <w:vAlign w:val="top"/>
          </w:tcPr>
          <w:p>
            <w:pPr>
              <w:pStyle w:val="TableText"/>
              <w:rPr/>
            </w:pPr>
            <w:r/>
          </w:p>
        </w:tc>
        <w:tc>
          <w:tcPr>
            <w:tcW w:w="1513" w:type="dxa"/>
            <w:vAlign w:val="top"/>
          </w:tcPr>
          <w:p>
            <w:pPr>
              <w:pStyle w:val="TableText"/>
              <w:rPr/>
            </w:pPr>
            <w:r/>
          </w:p>
        </w:tc>
      </w:tr>
    </w:tbl>
    <w:p>
      <w:pPr>
        <w:rPr>
          <w:rFonts w:ascii="Arial"/>
          <w:sz w:val="21"/>
        </w:rPr>
      </w:pPr>
      <w:r/>
    </w:p>
    <w:sectPr>
      <w:headerReference w:type="default" r:id="rId30"/>
      <w:footerReference w:type="default" r:id="rId31"/>
      <w:pgSz w:w="11900" w:h="16940"/>
      <w:pgMar w:top="934" w:right="1080" w:bottom="872" w:left="1077" w:header="744" w:footer="71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12"/>
      <w:spacing w:line="170" w:lineRule="auto"/>
      <w:rPr>
        <w:sz w:val="14"/>
        <w:szCs w:val="14"/>
      </w:rPr>
    </w:pPr>
    <w:r>
      <w:rPr>
        <w:sz w:val="14"/>
        <w:szCs w:val="14"/>
        <w:color w:val="DB7400"/>
      </w:rPr>
      <w:t>1</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2B9CFF"/>
      </w:rPr>
      <w:t>6</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815"/>
      <w:spacing w:line="164" w:lineRule="auto"/>
      <w:rPr>
        <w:rFonts w:ascii="FangSong" w:hAnsi="FangSong" w:eastAsia="FangSong" w:cs="FangSong"/>
        <w:sz w:val="13"/>
        <w:szCs w:val="13"/>
      </w:rPr>
    </w:pPr>
    <w:r>
      <w:rPr>
        <w:rFonts w:ascii="FangSong" w:hAnsi="FangSong" w:eastAsia="FangSong" w:cs="FangSong"/>
        <w:sz w:val="13"/>
        <w:szCs w:val="13"/>
      </w:rPr>
      <w:t>7</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2"/>
      <w:spacing w:line="171" w:lineRule="auto"/>
      <w:rPr>
        <w:sz w:val="16"/>
        <w:szCs w:val="16"/>
      </w:rPr>
    </w:pPr>
    <w:r>
      <w:rPr>
        <w:sz w:val="16"/>
        <w:szCs w:val="16"/>
        <w:color w:val="8195A8"/>
      </w:rPr>
      <w:t>8</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FFC481"/>
      </w:rPr>
      <w:t>9</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5"/>
      <w:spacing w:line="172" w:lineRule="auto"/>
      <w:rPr>
        <w:sz w:val="16"/>
        <w:szCs w:val="16"/>
      </w:rPr>
    </w:pPr>
    <w:r>
      <w:rPr>
        <w:sz w:val="16"/>
        <w:szCs w:val="16"/>
        <w:color w:val="E77E07"/>
        <w:spacing w:val="-5"/>
      </w:rPr>
      <w:t>10</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5"/>
      <w:spacing w:line="171" w:lineRule="auto"/>
      <w:rPr>
        <w:sz w:val="15"/>
        <w:szCs w:val="15"/>
      </w:rPr>
    </w:pPr>
    <w:r>
      <w:rPr>
        <w:sz w:val="15"/>
        <w:szCs w:val="15"/>
        <w:spacing w:val="-5"/>
      </w:rPr>
      <w:t>11</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92"/>
      <w:spacing w:line="172" w:lineRule="auto"/>
      <w:rPr>
        <w:sz w:val="16"/>
        <w:szCs w:val="16"/>
      </w:rPr>
    </w:pPr>
    <w:r>
      <w:rPr>
        <w:sz w:val="16"/>
        <w:szCs w:val="16"/>
        <w:color w:val="E77E07"/>
        <w:spacing w:val="-10"/>
      </w:rPr>
      <w:t>1</w:t>
    </w:r>
    <w:r>
      <w:rPr>
        <w:sz w:val="16"/>
        <w:szCs w:val="16"/>
        <w:color w:val="0074DA"/>
        <w:spacing w:val="-10"/>
      </w:rPr>
      <w:t>2</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782"/>
      <w:spacing w:line="172" w:lineRule="auto"/>
      <w:rPr>
        <w:sz w:val="16"/>
        <w:szCs w:val="16"/>
      </w:rPr>
    </w:pPr>
    <w:r>
      <w:rPr>
        <w:sz w:val="16"/>
        <w:szCs w:val="16"/>
        <w:color w:val="E77E07"/>
        <w:spacing w:val="-5"/>
      </w:rPr>
      <w:t>13</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945"/>
      <w:spacing w:line="171" w:lineRule="auto"/>
      <w:rPr>
        <w:sz w:val="16"/>
        <w:szCs w:val="16"/>
      </w:rPr>
    </w:pPr>
    <w:r>
      <w:rPr>
        <w:sz w:val="16"/>
        <w:szCs w:val="16"/>
        <w:color w:val="162BE5"/>
      </w:rPr>
      <w:t>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99"/>
      <w:spacing w:line="180" w:lineRule="auto"/>
      <w:rPr>
        <w:rFonts w:ascii="Times New Roman" w:hAnsi="Times New Roman" w:eastAsia="Times New Roman" w:cs="Times New Roman"/>
        <w:sz w:val="26"/>
        <w:szCs w:val="26"/>
      </w:rPr>
    </w:pPr>
    <w:r>
      <w:rPr>
        <w:rFonts w:ascii="Times New Roman" w:hAnsi="Times New Roman" w:eastAsia="Times New Roman" w:cs="Times New Roman"/>
        <w:sz w:val="26"/>
        <w:szCs w:val="26"/>
        <w:color w:val="2891ED"/>
      </w:rPr>
      <w:t>3</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4789"/>
      <w:spacing w:line="177" w:lineRule="auto"/>
      <w:rPr>
        <w:rFonts w:ascii="Times New Roman" w:hAnsi="Times New Roman" w:eastAsia="Times New Roman" w:cs="Times New Roman"/>
        <w:sz w:val="20"/>
        <w:szCs w:val="20"/>
      </w:rPr>
    </w:pPr>
    <w:r>
      <w:rPr>
        <w:rFonts w:ascii="Times New Roman" w:hAnsi="Times New Roman" w:eastAsia="Times New Roman" w:cs="Times New Roman"/>
        <w:sz w:val="20"/>
        <w:szCs w:val="20"/>
        <w:color w:val="0074DB"/>
      </w:rPr>
      <w:t>4</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22"/>
      <w:spacing w:line="174" w:lineRule="auto"/>
      <w:rPr/>
    </w:pPr>
    <w:r>
      <w:rPr>
        <w:color w:val="077EE7"/>
      </w:rPr>
      <w:t>1</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AC5A24"/>
      </w:rPr>
      <w:t>2</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5"/>
      <w:spacing w:line="171" w:lineRule="auto"/>
      <w:rPr>
        <w:sz w:val="16"/>
        <w:szCs w:val="16"/>
      </w:rPr>
    </w:pPr>
    <w:r>
      <w:rPr>
        <w:sz w:val="16"/>
        <w:szCs w:val="16"/>
        <w:color w:val="C97618"/>
      </w:rPr>
      <w:t>3</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02"/>
      <w:spacing w:line="169" w:lineRule="auto"/>
      <w:rPr>
        <w:sz w:val="14"/>
        <w:szCs w:val="14"/>
      </w:rPr>
    </w:pPr>
    <w:r>
      <w:rPr>
        <w:sz w:val="14"/>
        <w:szCs w:val="14"/>
        <w:color w:val="0074DB"/>
      </w:rPr>
      <w:t>4</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4832"/>
      <w:spacing w:line="170" w:lineRule="auto"/>
      <w:rPr>
        <w:sz w:val="16"/>
        <w:szCs w:val="16"/>
      </w:rPr>
    </w:pPr>
    <w:r>
      <w:rPr>
        <w:sz w:val="16"/>
        <w:szCs w:val="16"/>
      </w:rPr>
      <w:t>5</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 style="position:absolute;margin-left:0pt;margin-top:9.05248pt;mso-position-vertical-relative:text;mso-position-horizontal-relative:text;width:487.15pt;height:0.5pt;z-index:251658240;" fillcolor="#000000" filled="true" stroked="false"/>
      </w:pict>
    </w:r>
    <w:r>
      <w:rPr>
        <w:b/>
        <w:bCs/>
        <w:spacing w:val="-9"/>
      </w:rPr>
      <w:t>X</w:t>
    </w:r>
    <w:r>
      <w:rPr>
        <w:spacing w:val="-9"/>
      </w:rPr>
      <w:t xml:space="preserve"> </w:t>
    </w:r>
    <w:r>
      <w:rPr>
        <w:b/>
        <w:bCs/>
        <w:spacing w:val="-9"/>
      </w:rPr>
      <w:t>X</w:t>
    </w:r>
    <w:r>
      <w:rPr>
        <w:spacing w:val="9"/>
      </w:rPr>
      <w:t xml:space="preserve"> </w:t>
    </w:r>
    <w:r>
      <w:rPr>
        <w:b/>
        <w:bCs/>
        <w:spacing w:val="-9"/>
      </w:rPr>
      <w:t>矿</w:t>
    </w:r>
    <w:r>
      <w:rPr>
        <w:spacing w:val="11"/>
      </w:rPr>
      <w:t xml:space="preserve"> </w:t>
    </w:r>
    <w:r>
      <w:rPr>
        <w:b/>
        <w:bCs/>
        <w:spacing w:val="-9"/>
      </w:rPr>
      <w:t>井</w:t>
    </w:r>
    <w:r>
      <w:rPr>
        <w:spacing w:val="22"/>
      </w:rPr>
      <w:t xml:space="preserve"> </w:t>
    </w:r>
    <w:r>
      <w:rPr>
        <w:b/>
        <w:bCs/>
        <w:spacing w:val="-9"/>
      </w:rPr>
      <w:t>防</w:t>
    </w:r>
    <w:r>
      <w:rPr>
        <w:spacing w:val="17"/>
      </w:rPr>
      <w:t xml:space="preserve"> </w:t>
    </w:r>
    <w:r>
      <w:rPr>
        <w:b/>
        <w:bCs/>
        <w:spacing w:val="-9"/>
      </w:rPr>
      <w:t>突</w:t>
    </w:r>
    <w:r>
      <w:rPr>
        <w:spacing w:val="12"/>
      </w:rPr>
      <w:t xml:space="preserve"> </w:t>
    </w:r>
    <w:r>
      <w:rPr>
        <w:b/>
        <w:bCs/>
        <w:spacing w:val="-9"/>
      </w:rPr>
      <w:t>专</w:t>
    </w:r>
    <w:r>
      <w:rPr>
        <w:spacing w:val="13"/>
      </w:rPr>
      <w:t xml:space="preserve"> </w:t>
    </w:r>
    <w:r>
      <w:rPr>
        <w:b/>
        <w:bCs/>
        <w:spacing w:val="-9"/>
      </w:rPr>
      <w:t>项</w:t>
    </w:r>
    <w:r>
      <w:rPr>
        <w:spacing w:val="14"/>
      </w:rPr>
      <w:t xml:space="preserve"> </w:t>
    </w:r>
    <w:r>
      <w:rPr>
        <w:b/>
        <w:bCs/>
        <w:spacing w:val="-9"/>
      </w:rPr>
      <w:t>设</w:t>
    </w:r>
    <w:r>
      <w:rPr>
        <w:spacing w:val="11"/>
      </w:rPr>
      <w:t xml:space="preserve"> </w:t>
    </w:r>
    <w:r>
      <w:rPr>
        <w:b/>
        <w:bCs/>
        <w:spacing w:val="-9"/>
      </w:rPr>
      <w:t>计</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6" style="position:absolute;margin-left:0pt;margin-top:9.05235pt;mso-position-vertical-relative:text;mso-position-horizontal-relative:text;width:486.8pt;height:0.5pt;z-index:251668480;" fillcolor="#000000" filled="true" stroked="false"/>
      </w:pict>
    </w:r>
    <w:r>
      <w:rPr>
        <w:spacing w:val="-9"/>
      </w:rPr>
      <w:t>X</w:t>
    </w:r>
    <w:r>
      <w:rPr>
        <w:spacing w:val="23"/>
      </w:rPr>
      <w:t xml:space="preserve"> </w:t>
    </w:r>
    <w:r>
      <w:rPr>
        <w:spacing w:val="-9"/>
      </w:rPr>
      <w:t>X</w:t>
    </w:r>
    <w:r>
      <w:rPr>
        <w:spacing w:val="23"/>
        <w:w w:val="101"/>
      </w:rPr>
      <w:t xml:space="preserve"> </w:t>
    </w:r>
    <w:r>
      <w:rPr>
        <w:spacing w:val="-9"/>
      </w:rPr>
      <w:t>矿</w:t>
    </w:r>
    <w:r>
      <w:rPr>
        <w:spacing w:val="23"/>
        <w:w w:val="101"/>
      </w:rPr>
      <w:t xml:space="preserve"> </w:t>
    </w:r>
    <w:r>
      <w:rPr>
        <w:spacing w:val="-9"/>
      </w:rPr>
      <w:t>井</w:t>
    </w:r>
    <w:r>
      <w:rPr>
        <w:spacing w:val="35"/>
      </w:rPr>
      <w:t xml:space="preserve"> </w:t>
    </w:r>
    <w:r>
      <w:rPr>
        <w:spacing w:val="-9"/>
      </w:rPr>
      <w:t>防</w:t>
    </w:r>
    <w:r>
      <w:rPr>
        <w:spacing w:val="31"/>
      </w:rPr>
      <w:t xml:space="preserve"> </w:t>
    </w:r>
    <w:r>
      <w:rPr>
        <w:spacing w:val="-9"/>
      </w:rPr>
      <w:t>突</w:t>
    </w:r>
    <w:r>
      <w:rPr>
        <w:spacing w:val="25"/>
      </w:rPr>
      <w:t xml:space="preserve"> </w:t>
    </w:r>
    <w:r>
      <w:rPr>
        <w:spacing w:val="-9"/>
      </w:rPr>
      <w:t>专</w:t>
    </w:r>
    <w:r>
      <w:rPr>
        <w:spacing w:val="27"/>
      </w:rPr>
      <w:t xml:space="preserve"> </w:t>
    </w:r>
    <w:r>
      <w:rPr>
        <w:spacing w:val="-9"/>
      </w:rPr>
      <w:t>项</w:t>
    </w:r>
    <w:r>
      <w:rPr>
        <w:spacing w:val="27"/>
      </w:rPr>
      <w:t xml:space="preserve"> </w:t>
    </w:r>
    <w:r>
      <w:rPr>
        <w:spacing w:val="-9"/>
      </w:rPr>
      <w:t>设</w:t>
    </w:r>
    <w:r>
      <w:rPr>
        <w:spacing w:val="24"/>
      </w:rPr>
      <w:t xml:space="preserve"> </w:t>
    </w:r>
    <w:r>
      <w:rPr>
        <w:spacing w:val="-9"/>
      </w:rPr>
      <w:t>计</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8" style="position:absolute;margin-left:0pt;margin-top:9.05235pt;mso-position-vertical-relative:text;mso-position-horizontal-relative:text;width:486.8pt;height:0.5pt;z-index:251670528;" fillcolor="#000000" filled="true" stroked="false"/>
      </w:pict>
    </w:r>
    <w:r>
      <w:rPr>
        <w:spacing w:val="-9"/>
      </w:rPr>
      <w:t>X</w:t>
    </w:r>
    <w:r>
      <w:rPr>
        <w:spacing w:val="23"/>
      </w:rPr>
      <w:t xml:space="preserve"> </w:t>
    </w:r>
    <w:r>
      <w:rPr>
        <w:spacing w:val="-9"/>
      </w:rPr>
      <w:t>X</w:t>
    </w:r>
    <w:r>
      <w:rPr>
        <w:spacing w:val="23"/>
        <w:w w:val="101"/>
      </w:rPr>
      <w:t xml:space="preserve"> </w:t>
    </w:r>
    <w:r>
      <w:rPr>
        <w:spacing w:val="-9"/>
      </w:rPr>
      <w:t>矿</w:t>
    </w:r>
    <w:r>
      <w:rPr>
        <w:spacing w:val="23"/>
        <w:w w:val="101"/>
      </w:rPr>
      <w:t xml:space="preserve"> </w:t>
    </w:r>
    <w:r>
      <w:rPr>
        <w:spacing w:val="-9"/>
      </w:rPr>
      <w:t>井</w:t>
    </w:r>
    <w:r>
      <w:rPr>
        <w:spacing w:val="35"/>
      </w:rPr>
      <w:t xml:space="preserve"> </w:t>
    </w:r>
    <w:r>
      <w:rPr>
        <w:spacing w:val="-9"/>
      </w:rPr>
      <w:t>防</w:t>
    </w:r>
    <w:r>
      <w:rPr>
        <w:spacing w:val="31"/>
      </w:rPr>
      <w:t xml:space="preserve"> </w:t>
    </w:r>
    <w:r>
      <w:rPr>
        <w:spacing w:val="-9"/>
      </w:rPr>
      <w:t>突</w:t>
    </w:r>
    <w:r>
      <w:rPr>
        <w:spacing w:val="25"/>
      </w:rPr>
      <w:t xml:space="preserve"> </w:t>
    </w:r>
    <w:r>
      <w:rPr>
        <w:spacing w:val="-9"/>
      </w:rPr>
      <w:t>专</w:t>
    </w:r>
    <w:r>
      <w:rPr>
        <w:spacing w:val="27"/>
      </w:rPr>
      <w:t xml:space="preserve"> </w:t>
    </w:r>
    <w:r>
      <w:rPr>
        <w:spacing w:val="-9"/>
      </w:rPr>
      <w:t>项</w:t>
    </w:r>
    <w:r>
      <w:rPr>
        <w:spacing w:val="27"/>
      </w:rPr>
      <w:t xml:space="preserve"> </w:t>
    </w:r>
    <w:r>
      <w:rPr>
        <w:spacing w:val="-9"/>
      </w:rPr>
      <w:t>设</w:t>
    </w:r>
    <w:r>
      <w:rPr>
        <w:spacing w:val="24"/>
      </w:rPr>
      <w:t xml:space="preserve"> </w:t>
    </w:r>
    <w:r>
      <w:rPr>
        <w:spacing w:val="-9"/>
      </w:rPr>
      <w:t>计</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0" style="position:absolute;margin-left:0pt;margin-top:9.05235pt;mso-position-vertical-relative:text;mso-position-horizontal-relative:text;width:486.8pt;height:0.5pt;z-index:251672576;" fillcolor="#000000" filled="true" stroked="false"/>
      </w:pict>
    </w:r>
    <w:r>
      <w:rPr>
        <w:spacing w:val="-9"/>
      </w:rPr>
      <w:t>X</w:t>
    </w:r>
    <w:r>
      <w:rPr>
        <w:spacing w:val="23"/>
      </w:rPr>
      <w:t xml:space="preserve"> </w:t>
    </w:r>
    <w:r>
      <w:rPr>
        <w:spacing w:val="-9"/>
      </w:rPr>
      <w:t>X</w:t>
    </w:r>
    <w:r>
      <w:rPr>
        <w:spacing w:val="23"/>
        <w:w w:val="101"/>
      </w:rPr>
      <w:t xml:space="preserve"> </w:t>
    </w:r>
    <w:r>
      <w:rPr>
        <w:spacing w:val="-9"/>
      </w:rPr>
      <w:t>矿</w:t>
    </w:r>
    <w:r>
      <w:rPr>
        <w:spacing w:val="23"/>
        <w:w w:val="101"/>
      </w:rPr>
      <w:t xml:space="preserve"> </w:t>
    </w:r>
    <w:r>
      <w:rPr>
        <w:spacing w:val="-9"/>
      </w:rPr>
      <w:t>井</w:t>
    </w:r>
    <w:r>
      <w:rPr>
        <w:spacing w:val="35"/>
      </w:rPr>
      <w:t xml:space="preserve"> </w:t>
    </w:r>
    <w:r>
      <w:rPr>
        <w:spacing w:val="-9"/>
      </w:rPr>
      <w:t>防</w:t>
    </w:r>
    <w:r>
      <w:rPr>
        <w:spacing w:val="31"/>
      </w:rPr>
      <w:t xml:space="preserve"> </w:t>
    </w:r>
    <w:r>
      <w:rPr>
        <w:spacing w:val="-9"/>
      </w:rPr>
      <w:t>突</w:t>
    </w:r>
    <w:r>
      <w:rPr>
        <w:spacing w:val="25"/>
      </w:rPr>
      <w:t xml:space="preserve"> </w:t>
    </w:r>
    <w:r>
      <w:rPr>
        <w:spacing w:val="-9"/>
      </w:rPr>
      <w:t>专</w:t>
    </w:r>
    <w:r>
      <w:rPr>
        <w:spacing w:val="27"/>
      </w:rPr>
      <w:t xml:space="preserve"> </w:t>
    </w:r>
    <w:r>
      <w:rPr>
        <w:spacing w:val="-9"/>
      </w:rPr>
      <w:t>项</w:t>
    </w:r>
    <w:r>
      <w:rPr>
        <w:spacing w:val="27"/>
      </w:rPr>
      <w:t xml:space="preserve"> </w:t>
    </w:r>
    <w:r>
      <w:rPr>
        <w:spacing w:val="-9"/>
      </w:rPr>
      <w:t>设</w:t>
    </w:r>
    <w:r>
      <w:rPr>
        <w:spacing w:val="24"/>
      </w:rPr>
      <w:t xml:space="preserve"> </w:t>
    </w:r>
    <w:r>
      <w:rPr>
        <w:spacing w:val="-9"/>
      </w:rPr>
      <w:t>计</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2" style="position:absolute;margin-left:0pt;margin-top:9.05235pt;mso-position-vertical-relative:text;mso-position-horizontal-relative:text;width:486.65pt;height:0.5pt;z-index:251673600;" fillcolor="#000000" filled="true" stroked="false"/>
      </w:pict>
    </w:r>
    <w:r>
      <w:rPr>
        <w:b/>
        <w:bCs/>
        <w:spacing w:val="-11"/>
      </w:rPr>
      <w:t>X</w:t>
    </w:r>
    <w:r>
      <w:rPr>
        <w:spacing w:val="23"/>
      </w:rPr>
      <w:t xml:space="preserve"> </w:t>
    </w:r>
    <w:r>
      <w:rPr>
        <w:b/>
        <w:bCs/>
        <w:spacing w:val="-11"/>
      </w:rPr>
      <w:t>X</w:t>
    </w:r>
    <w:r>
      <w:rPr>
        <w:spacing w:val="23"/>
      </w:rPr>
      <w:t xml:space="preserve"> </w:t>
    </w:r>
    <w:r>
      <w:rPr>
        <w:b/>
        <w:bCs/>
        <w:spacing w:val="-11"/>
      </w:rPr>
      <w:t>矿</w:t>
    </w:r>
    <w:r>
      <w:rPr>
        <w:spacing w:val="24"/>
      </w:rPr>
      <w:t xml:space="preserve"> </w:t>
    </w:r>
    <w:r>
      <w:rPr>
        <w:b/>
        <w:bCs/>
        <w:spacing w:val="-11"/>
      </w:rPr>
      <w:t>井</w:t>
    </w:r>
    <w:r>
      <w:rPr>
        <w:spacing w:val="36"/>
      </w:rPr>
      <w:t xml:space="preserve"> </w:t>
    </w:r>
    <w:r>
      <w:rPr>
        <w:b/>
        <w:bCs/>
        <w:spacing w:val="-11"/>
      </w:rPr>
      <w:t>防</w:t>
    </w:r>
    <w:r>
      <w:rPr>
        <w:spacing w:val="31"/>
      </w:rPr>
      <w:t xml:space="preserve"> </w:t>
    </w:r>
    <w:r>
      <w:rPr>
        <w:b/>
        <w:bCs/>
        <w:spacing w:val="-11"/>
      </w:rPr>
      <w:t>突</w:t>
    </w:r>
    <w:r>
      <w:rPr>
        <w:spacing w:val="24"/>
      </w:rPr>
      <w:t xml:space="preserve"> </w:t>
    </w:r>
    <w:r>
      <w:rPr>
        <w:b/>
        <w:bCs/>
        <w:spacing w:val="-11"/>
      </w:rPr>
      <w:t>专</w:t>
    </w:r>
    <w:r>
      <w:rPr>
        <w:spacing w:val="27"/>
      </w:rPr>
      <w:t xml:space="preserve"> </w:t>
    </w:r>
    <w:r>
      <w:rPr>
        <w:b/>
        <w:bCs/>
        <w:spacing w:val="-11"/>
      </w:rPr>
      <w:t>项</w:t>
    </w:r>
    <w:r>
      <w:rPr>
        <w:spacing w:val="27"/>
      </w:rPr>
      <w:t xml:space="preserve"> </w:t>
    </w:r>
    <w:r>
      <w:rPr>
        <w:b/>
        <w:bCs/>
        <w:spacing w:val="-11"/>
      </w:rPr>
      <w:t>设</w:t>
    </w:r>
    <w:r>
      <w:rPr>
        <w:spacing w:val="24"/>
      </w:rPr>
      <w:t xml:space="preserve"> </w:t>
    </w:r>
    <w:r>
      <w:rPr>
        <w:b/>
        <w:bCs/>
        <w:spacing w:val="-11"/>
      </w:rPr>
      <w:t>计</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24" style="position:absolute;margin-left:0pt;margin-top:9.05235pt;mso-position-vertical-relative:text;mso-position-horizontal-relative:text;width:487.15pt;height:0.5pt;z-index:251674624;" fillcolor="#000000" filled="true" stroked="false"/>
      </w:pict>
    </w:r>
    <w:r>
      <w:rPr>
        <w:b/>
        <w:bCs/>
        <w:spacing w:val="-11"/>
      </w:rPr>
      <w:t>X</w:t>
    </w:r>
    <w:r>
      <w:rPr>
        <w:spacing w:val="24"/>
      </w:rPr>
      <w:t xml:space="preserve"> </w:t>
    </w:r>
    <w:r>
      <w:rPr>
        <w:b/>
        <w:bCs/>
        <w:spacing w:val="-11"/>
      </w:rPr>
      <w:t>X</w:t>
    </w:r>
    <w:r>
      <w:rPr>
        <w:spacing w:val="23"/>
      </w:rPr>
      <w:t xml:space="preserve"> </w:t>
    </w:r>
    <w:r>
      <w:rPr>
        <w:b/>
        <w:bCs/>
        <w:spacing w:val="-11"/>
      </w:rPr>
      <w:t>矿</w:t>
    </w:r>
    <w:r>
      <w:rPr>
        <w:spacing w:val="24"/>
      </w:rPr>
      <w:t xml:space="preserve"> </w:t>
    </w:r>
    <w:r>
      <w:rPr>
        <w:b/>
        <w:bCs/>
        <w:spacing w:val="-11"/>
      </w:rPr>
      <w:t>井</w:t>
    </w:r>
    <w:r>
      <w:rPr>
        <w:spacing w:val="36"/>
      </w:rPr>
      <w:t xml:space="preserve"> </w:t>
    </w:r>
    <w:r>
      <w:rPr>
        <w:b/>
        <w:bCs/>
        <w:spacing w:val="-11"/>
      </w:rPr>
      <w:t>防</w:t>
    </w:r>
    <w:r>
      <w:rPr>
        <w:spacing w:val="31"/>
      </w:rPr>
      <w:t xml:space="preserve"> </w:t>
    </w:r>
    <w:r>
      <w:rPr>
        <w:b/>
        <w:bCs/>
        <w:spacing w:val="-11"/>
      </w:rPr>
      <w:t>突</w:t>
    </w:r>
    <w:r>
      <w:rPr>
        <w:spacing w:val="25"/>
      </w:rPr>
      <w:t xml:space="preserve"> </w:t>
    </w:r>
    <w:r>
      <w:rPr>
        <w:b/>
        <w:bCs/>
        <w:spacing w:val="-11"/>
      </w:rPr>
      <w:t>专</w:t>
    </w:r>
    <w:r>
      <w:rPr>
        <w:spacing w:val="27"/>
      </w:rPr>
      <w:t xml:space="preserve"> </w:t>
    </w:r>
    <w:r>
      <w:rPr>
        <w:b/>
        <w:bCs/>
        <w:spacing w:val="-11"/>
      </w:rPr>
      <w:t>项</w:t>
    </w:r>
    <w:r>
      <w:rPr>
        <w:spacing w:val="27"/>
      </w:rPr>
      <w:t xml:space="preserve"> </w:t>
    </w:r>
    <w:r>
      <w:rPr>
        <w:b/>
        <w:bCs/>
        <w:spacing w:val="-11"/>
      </w:rPr>
      <w:t>设</w:t>
    </w:r>
    <w:r>
      <w:rPr>
        <w:spacing w:val="24"/>
      </w:rPr>
      <w:t xml:space="preserve"> </w:t>
    </w:r>
    <w:r>
      <w:rPr>
        <w:b/>
        <w:bCs/>
        <w:spacing w:val="-11"/>
      </w:rPr>
      <w:t>计</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45"/>
      <w:spacing w:line="219" w:lineRule="auto"/>
      <w:rPr/>
    </w:pPr>
    <w:r>
      <w:drawing>
        <wp:anchor distT="0" distB="0" distL="0" distR="0" simplePos="0" relativeHeight="251659264" behindDoc="0" locked="0" layoutInCell="0" allowOverlap="1">
          <wp:simplePos x="0" y="0"/>
          <wp:positionH relativeFrom="page">
            <wp:posOffset>679480</wp:posOffset>
          </wp:positionH>
          <wp:positionV relativeFrom="page">
            <wp:posOffset>631942</wp:posOffset>
          </wp:positionV>
          <wp:extent cx="6191191" cy="8890"/>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6191191" cy="8890"/>
                  </a:xfrm>
                  <a:prstGeom prst="rect">
                    <a:avLst/>
                  </a:prstGeom>
                </pic:spPr>
              </pic:pic>
            </a:graphicData>
          </a:graphic>
        </wp:anchor>
      </w:drawing>
    </w:r>
    <w:r>
      <w:rPr>
        <w:rFonts w:ascii="Times New Roman" w:hAnsi="Times New Roman" w:eastAsia="Times New Roman" w:cs="Times New Roman"/>
        <w:spacing w:val="-12"/>
      </w:rPr>
      <w:t>XX</w:t>
    </w:r>
    <w:r>
      <w:rPr>
        <w:rFonts w:ascii="Times New Roman" w:hAnsi="Times New Roman" w:eastAsia="Times New Roman" w:cs="Times New Roman"/>
        <w:spacing w:val="41"/>
      </w:rPr>
      <w:t xml:space="preserve"> </w:t>
    </w:r>
    <w:r>
      <w:rPr>
        <w:spacing w:val="-12"/>
      </w:rPr>
      <w:t>矿井防突专项设计</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4" style="position:absolute;margin-left:0pt;margin-top:9.05235pt;mso-position-vertical-relative:text;mso-position-horizontal-relative:text;width:486.65pt;height:0.5pt;z-index:251662336;" fillcolor="#000000" filled="true" stroked="false"/>
      </w:pict>
    </w:r>
    <w:r>
      <w:rPr>
        <w:b/>
        <w:bCs/>
        <w:spacing w:val="-11"/>
      </w:rPr>
      <w:t>X</w:t>
    </w:r>
    <w:r>
      <w:rPr>
        <w:spacing w:val="23"/>
      </w:rPr>
      <w:t xml:space="preserve"> </w:t>
    </w:r>
    <w:r>
      <w:rPr>
        <w:b/>
        <w:bCs/>
        <w:spacing w:val="-11"/>
      </w:rPr>
      <w:t>X</w:t>
    </w:r>
    <w:r>
      <w:rPr>
        <w:spacing w:val="23"/>
      </w:rPr>
      <w:t xml:space="preserve"> </w:t>
    </w:r>
    <w:r>
      <w:rPr>
        <w:b/>
        <w:bCs/>
        <w:spacing w:val="-11"/>
      </w:rPr>
      <w:t>矿</w:t>
    </w:r>
    <w:r>
      <w:rPr>
        <w:spacing w:val="24"/>
      </w:rPr>
      <w:t xml:space="preserve"> </w:t>
    </w:r>
    <w:r>
      <w:rPr>
        <w:b/>
        <w:bCs/>
        <w:spacing w:val="-11"/>
      </w:rPr>
      <w:t>井</w:t>
    </w:r>
    <w:r>
      <w:rPr>
        <w:spacing w:val="36"/>
      </w:rPr>
      <w:t xml:space="preserve"> </w:t>
    </w:r>
    <w:r>
      <w:rPr>
        <w:b/>
        <w:bCs/>
        <w:spacing w:val="-11"/>
      </w:rPr>
      <w:t>防</w:t>
    </w:r>
    <w:r>
      <w:rPr>
        <w:spacing w:val="31"/>
      </w:rPr>
      <w:t xml:space="preserve"> </w:t>
    </w:r>
    <w:r>
      <w:rPr>
        <w:b/>
        <w:bCs/>
        <w:spacing w:val="-11"/>
      </w:rPr>
      <w:t>突</w:t>
    </w:r>
    <w:r>
      <w:rPr>
        <w:spacing w:val="24"/>
      </w:rPr>
      <w:t xml:space="preserve"> </w:t>
    </w:r>
    <w:r>
      <w:rPr>
        <w:b/>
        <w:bCs/>
        <w:spacing w:val="-11"/>
      </w:rPr>
      <w:t>专</w:t>
    </w:r>
    <w:r>
      <w:rPr>
        <w:spacing w:val="27"/>
      </w:rPr>
      <w:t xml:space="preserve"> </w:t>
    </w:r>
    <w:r>
      <w:rPr>
        <w:b/>
        <w:bCs/>
        <w:spacing w:val="-11"/>
      </w:rPr>
      <w:t>项</w:t>
    </w:r>
    <w:r>
      <w:rPr>
        <w:spacing w:val="27"/>
      </w:rPr>
      <w:t xml:space="preserve"> </w:t>
    </w:r>
    <w:r>
      <w:rPr>
        <w:b/>
        <w:bCs/>
        <w:spacing w:val="-11"/>
      </w:rPr>
      <w:t>设</w:t>
    </w:r>
    <w:r>
      <w:rPr>
        <w:spacing w:val="24"/>
      </w:rPr>
      <w:t xml:space="preserve"> </w:t>
    </w:r>
    <w:r>
      <w:rPr>
        <w:b/>
        <w:bCs/>
        <w:spacing w:val="-11"/>
      </w:rPr>
      <w:t>计</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6" style="position:absolute;margin-left:0pt;margin-top:9.05235pt;mso-position-vertical-relative:text;mso-position-horizontal-relative:text;width:486.8pt;height:0.5pt;z-index:251663360;" fillcolor="#000000" filled="true" stroked="false"/>
      </w:pict>
    </w:r>
    <w:r>
      <w:rPr>
        <w:spacing w:val="-9"/>
      </w:rPr>
      <w:t>X</w:t>
    </w:r>
    <w:r>
      <w:rPr>
        <w:spacing w:val="23"/>
      </w:rPr>
      <w:t xml:space="preserve"> </w:t>
    </w:r>
    <w:r>
      <w:rPr>
        <w:spacing w:val="-9"/>
      </w:rPr>
      <w:t>X</w:t>
    </w:r>
    <w:r>
      <w:rPr>
        <w:spacing w:val="23"/>
        <w:w w:val="101"/>
      </w:rPr>
      <w:t xml:space="preserve"> </w:t>
    </w:r>
    <w:r>
      <w:rPr>
        <w:spacing w:val="-9"/>
      </w:rPr>
      <w:t>矿</w:t>
    </w:r>
    <w:r>
      <w:rPr>
        <w:spacing w:val="23"/>
        <w:w w:val="101"/>
      </w:rPr>
      <w:t xml:space="preserve"> </w:t>
    </w:r>
    <w:r>
      <w:rPr>
        <w:spacing w:val="-9"/>
      </w:rPr>
      <w:t>井</w:t>
    </w:r>
    <w:r>
      <w:rPr>
        <w:spacing w:val="35"/>
      </w:rPr>
      <w:t xml:space="preserve"> </w:t>
    </w:r>
    <w:r>
      <w:rPr>
        <w:spacing w:val="-9"/>
      </w:rPr>
      <w:t>防</w:t>
    </w:r>
    <w:r>
      <w:rPr>
        <w:spacing w:val="31"/>
      </w:rPr>
      <w:t xml:space="preserve"> </w:t>
    </w:r>
    <w:r>
      <w:rPr>
        <w:spacing w:val="-9"/>
      </w:rPr>
      <w:t>突</w:t>
    </w:r>
    <w:r>
      <w:rPr>
        <w:spacing w:val="25"/>
      </w:rPr>
      <w:t xml:space="preserve"> </w:t>
    </w:r>
    <w:r>
      <w:rPr>
        <w:spacing w:val="-9"/>
      </w:rPr>
      <w:t>专</w:t>
    </w:r>
    <w:r>
      <w:rPr>
        <w:spacing w:val="27"/>
      </w:rPr>
      <w:t xml:space="preserve"> </w:t>
    </w:r>
    <w:r>
      <w:rPr>
        <w:spacing w:val="-9"/>
      </w:rPr>
      <w:t>项</w:t>
    </w:r>
    <w:r>
      <w:rPr>
        <w:spacing w:val="27"/>
      </w:rPr>
      <w:t xml:space="preserve"> </w:t>
    </w:r>
    <w:r>
      <w:rPr>
        <w:spacing w:val="-9"/>
      </w:rPr>
      <w:t>设</w:t>
    </w:r>
    <w:r>
      <w:rPr>
        <w:spacing w:val="24"/>
      </w:rPr>
      <w:t xml:space="preserve"> </w:t>
    </w:r>
    <w:r>
      <w:rPr>
        <w:spacing w:val="-9"/>
      </w:rPr>
      <w:t>计</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8" style="position:absolute;margin-left:0pt;margin-top:9.05235pt;mso-position-vertical-relative:text;mso-position-horizontal-relative:text;width:486.8pt;height:0.5pt;z-index:251664384;" fillcolor="#000000" filled="true" stroked="false"/>
      </w:pict>
    </w:r>
    <w:r>
      <w:rPr>
        <w:spacing w:val="-9"/>
      </w:rPr>
      <w:t>X</w:t>
    </w:r>
    <w:r>
      <w:rPr>
        <w:spacing w:val="23"/>
      </w:rPr>
      <w:t xml:space="preserve"> </w:t>
    </w:r>
    <w:r>
      <w:rPr>
        <w:spacing w:val="-9"/>
      </w:rPr>
      <w:t>X</w:t>
    </w:r>
    <w:r>
      <w:rPr>
        <w:spacing w:val="23"/>
        <w:w w:val="101"/>
      </w:rPr>
      <w:t xml:space="preserve"> </w:t>
    </w:r>
    <w:r>
      <w:rPr>
        <w:spacing w:val="-9"/>
      </w:rPr>
      <w:t>矿</w:t>
    </w:r>
    <w:r>
      <w:rPr>
        <w:spacing w:val="23"/>
        <w:w w:val="101"/>
      </w:rPr>
      <w:t xml:space="preserve"> </w:t>
    </w:r>
    <w:r>
      <w:rPr>
        <w:spacing w:val="-9"/>
      </w:rPr>
      <w:t>井</w:t>
    </w:r>
    <w:r>
      <w:rPr>
        <w:spacing w:val="35"/>
      </w:rPr>
      <w:t xml:space="preserve"> </w:t>
    </w:r>
    <w:r>
      <w:rPr>
        <w:spacing w:val="-9"/>
      </w:rPr>
      <w:t>防</w:t>
    </w:r>
    <w:r>
      <w:rPr>
        <w:spacing w:val="31"/>
      </w:rPr>
      <w:t xml:space="preserve"> </w:t>
    </w:r>
    <w:r>
      <w:rPr>
        <w:spacing w:val="-9"/>
      </w:rPr>
      <w:t>突</w:t>
    </w:r>
    <w:r>
      <w:rPr>
        <w:spacing w:val="25"/>
      </w:rPr>
      <w:t xml:space="preserve"> </w:t>
    </w:r>
    <w:r>
      <w:rPr>
        <w:spacing w:val="-9"/>
      </w:rPr>
      <w:t>专</w:t>
    </w:r>
    <w:r>
      <w:rPr>
        <w:spacing w:val="27"/>
      </w:rPr>
      <w:t xml:space="preserve"> </w:t>
    </w:r>
    <w:r>
      <w:rPr>
        <w:spacing w:val="-9"/>
      </w:rPr>
      <w:t>项</w:t>
    </w:r>
    <w:r>
      <w:rPr>
        <w:spacing w:val="27"/>
      </w:rPr>
      <w:t xml:space="preserve"> </w:t>
    </w:r>
    <w:r>
      <w:rPr>
        <w:spacing w:val="-9"/>
      </w:rPr>
      <w:t>设</w:t>
    </w:r>
    <w:r>
      <w:rPr>
        <w:spacing w:val="24"/>
      </w:rPr>
      <w:t xml:space="preserve"> </w:t>
    </w:r>
    <w:r>
      <w:rPr>
        <w:spacing w:val="-9"/>
      </w:rPr>
      <w:t>计</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0" style="position:absolute;margin-left:0pt;margin-top:9.05235pt;mso-position-vertical-relative:text;mso-position-horizontal-relative:text;width:486.65pt;height:0.5pt;z-index:251665408;" fillcolor="#000000" filled="true" stroked="false"/>
      </w:pict>
    </w:r>
    <w:r>
      <w:rPr>
        <w:b/>
        <w:bCs/>
        <w:spacing w:val="-11"/>
      </w:rPr>
      <w:t>X</w:t>
    </w:r>
    <w:r>
      <w:rPr>
        <w:spacing w:val="23"/>
      </w:rPr>
      <w:t xml:space="preserve"> </w:t>
    </w:r>
    <w:r>
      <w:rPr>
        <w:b/>
        <w:bCs/>
        <w:spacing w:val="-11"/>
      </w:rPr>
      <w:t>X</w:t>
    </w:r>
    <w:r>
      <w:rPr>
        <w:spacing w:val="23"/>
      </w:rPr>
      <w:t xml:space="preserve"> </w:t>
    </w:r>
    <w:r>
      <w:rPr>
        <w:b/>
        <w:bCs/>
        <w:spacing w:val="-11"/>
      </w:rPr>
      <w:t>矿</w:t>
    </w:r>
    <w:r>
      <w:rPr>
        <w:spacing w:val="24"/>
      </w:rPr>
      <w:t xml:space="preserve"> </w:t>
    </w:r>
    <w:r>
      <w:rPr>
        <w:b/>
        <w:bCs/>
        <w:spacing w:val="-11"/>
      </w:rPr>
      <w:t>井</w:t>
    </w:r>
    <w:r>
      <w:rPr>
        <w:spacing w:val="36"/>
      </w:rPr>
      <w:t xml:space="preserve"> </w:t>
    </w:r>
    <w:r>
      <w:rPr>
        <w:b/>
        <w:bCs/>
        <w:spacing w:val="-11"/>
      </w:rPr>
      <w:t>防</w:t>
    </w:r>
    <w:r>
      <w:rPr>
        <w:spacing w:val="31"/>
      </w:rPr>
      <w:t xml:space="preserve"> </w:t>
    </w:r>
    <w:r>
      <w:rPr>
        <w:b/>
        <w:bCs/>
        <w:spacing w:val="-11"/>
      </w:rPr>
      <w:t>突</w:t>
    </w:r>
    <w:r>
      <w:rPr>
        <w:spacing w:val="24"/>
      </w:rPr>
      <w:t xml:space="preserve"> </w:t>
    </w:r>
    <w:r>
      <w:rPr>
        <w:b/>
        <w:bCs/>
        <w:spacing w:val="-11"/>
      </w:rPr>
      <w:t>专</w:t>
    </w:r>
    <w:r>
      <w:rPr>
        <w:spacing w:val="27"/>
      </w:rPr>
      <w:t xml:space="preserve"> </w:t>
    </w:r>
    <w:r>
      <w:rPr>
        <w:b/>
        <w:bCs/>
        <w:spacing w:val="-11"/>
      </w:rPr>
      <w:t>项</w:t>
    </w:r>
    <w:r>
      <w:rPr>
        <w:spacing w:val="27"/>
      </w:rPr>
      <w:t xml:space="preserve"> </w:t>
    </w:r>
    <w:r>
      <w:rPr>
        <w:b/>
        <w:bCs/>
        <w:spacing w:val="-11"/>
      </w:rPr>
      <w:t>设</w:t>
    </w:r>
    <w:r>
      <w:rPr>
        <w:spacing w:val="24"/>
      </w:rPr>
      <w:t xml:space="preserve"> </w:t>
    </w:r>
    <w:r>
      <w:rPr>
        <w:b/>
        <w:bCs/>
        <w:spacing w:val="-11"/>
      </w:rPr>
      <w:t>计</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2" style="position:absolute;margin-left:0pt;margin-top:9.05235pt;mso-position-vertical-relative:text;mso-position-horizontal-relative:text;width:486.65pt;height:0.5pt;z-index:251666432;" fillcolor="#000000" filled="true" stroked="false"/>
      </w:pict>
    </w:r>
    <w:r>
      <w:rPr>
        <w:b/>
        <w:bCs/>
        <w:spacing w:val="-11"/>
      </w:rPr>
      <w:t>X</w:t>
    </w:r>
    <w:r>
      <w:rPr>
        <w:spacing w:val="23"/>
      </w:rPr>
      <w:t xml:space="preserve"> </w:t>
    </w:r>
    <w:r>
      <w:rPr>
        <w:b/>
        <w:bCs/>
        <w:spacing w:val="-11"/>
      </w:rPr>
      <w:t>X</w:t>
    </w:r>
    <w:r>
      <w:rPr>
        <w:spacing w:val="23"/>
      </w:rPr>
      <w:t xml:space="preserve"> </w:t>
    </w:r>
    <w:r>
      <w:rPr>
        <w:b/>
        <w:bCs/>
        <w:spacing w:val="-11"/>
      </w:rPr>
      <w:t>矿</w:t>
    </w:r>
    <w:r>
      <w:rPr>
        <w:spacing w:val="24"/>
      </w:rPr>
      <w:t xml:space="preserve"> </w:t>
    </w:r>
    <w:r>
      <w:rPr>
        <w:b/>
        <w:bCs/>
        <w:spacing w:val="-11"/>
      </w:rPr>
      <w:t>井</w:t>
    </w:r>
    <w:r>
      <w:rPr>
        <w:spacing w:val="36"/>
      </w:rPr>
      <w:t xml:space="preserve"> </w:t>
    </w:r>
    <w:r>
      <w:rPr>
        <w:b/>
        <w:bCs/>
        <w:spacing w:val="-11"/>
      </w:rPr>
      <w:t>防</w:t>
    </w:r>
    <w:r>
      <w:rPr>
        <w:spacing w:val="31"/>
      </w:rPr>
      <w:t xml:space="preserve"> </w:t>
    </w:r>
    <w:r>
      <w:rPr>
        <w:b/>
        <w:bCs/>
        <w:spacing w:val="-11"/>
      </w:rPr>
      <w:t>突</w:t>
    </w:r>
    <w:r>
      <w:rPr>
        <w:spacing w:val="24"/>
      </w:rPr>
      <w:t xml:space="preserve"> </w:t>
    </w:r>
    <w:r>
      <w:rPr>
        <w:b/>
        <w:bCs/>
        <w:spacing w:val="-11"/>
      </w:rPr>
      <w:t>专</w:t>
    </w:r>
    <w:r>
      <w:rPr>
        <w:spacing w:val="27"/>
      </w:rPr>
      <w:t xml:space="preserve"> </w:t>
    </w:r>
    <w:r>
      <w:rPr>
        <w:b/>
        <w:bCs/>
        <w:spacing w:val="-11"/>
      </w:rPr>
      <w:t>项</w:t>
    </w:r>
    <w:r>
      <w:rPr>
        <w:spacing w:val="27"/>
      </w:rPr>
      <w:t xml:space="preserve"> </w:t>
    </w:r>
    <w:r>
      <w:rPr>
        <w:b/>
        <w:bCs/>
        <w:spacing w:val="-11"/>
      </w:rPr>
      <w:t>设</w:t>
    </w:r>
    <w:r>
      <w:rPr>
        <w:spacing w:val="24"/>
      </w:rPr>
      <w:t xml:space="preserve"> </w:t>
    </w:r>
    <w:r>
      <w:rPr>
        <w:b/>
        <w:bCs/>
        <w:spacing w:val="-11"/>
      </w:rPr>
      <w:t>计</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5"/>
      <w:spacing w:line="174" w:lineRule="auto"/>
      <w:rPr/>
    </w:pPr>
    <w:r>
      <w:pict>
        <v:rect id="_x0000_s14" style="position:absolute;margin-left:0pt;margin-top:9.05235pt;mso-position-vertical-relative:text;mso-position-horizontal-relative:text;width:486.8pt;height:0.5pt;z-index:251667456;" fillcolor="#000000" filled="true" stroked="false"/>
      </w:pict>
    </w:r>
    <w:r>
      <w:rPr>
        <w:spacing w:val="-9"/>
      </w:rPr>
      <w:t>X</w:t>
    </w:r>
    <w:r>
      <w:rPr>
        <w:spacing w:val="23"/>
      </w:rPr>
      <w:t xml:space="preserve"> </w:t>
    </w:r>
    <w:r>
      <w:rPr>
        <w:spacing w:val="-9"/>
      </w:rPr>
      <w:t>X</w:t>
    </w:r>
    <w:r>
      <w:rPr>
        <w:spacing w:val="23"/>
        <w:w w:val="101"/>
      </w:rPr>
      <w:t xml:space="preserve"> </w:t>
    </w:r>
    <w:r>
      <w:rPr>
        <w:spacing w:val="-9"/>
      </w:rPr>
      <w:t>矿</w:t>
    </w:r>
    <w:r>
      <w:rPr>
        <w:spacing w:val="23"/>
        <w:w w:val="101"/>
      </w:rPr>
      <w:t xml:space="preserve"> </w:t>
    </w:r>
    <w:r>
      <w:rPr>
        <w:spacing w:val="-9"/>
      </w:rPr>
      <w:t>井</w:t>
    </w:r>
    <w:r>
      <w:rPr>
        <w:spacing w:val="35"/>
      </w:rPr>
      <w:t xml:space="preserve"> </w:t>
    </w:r>
    <w:r>
      <w:rPr>
        <w:spacing w:val="-9"/>
      </w:rPr>
      <w:t>防</w:t>
    </w:r>
    <w:r>
      <w:rPr>
        <w:spacing w:val="31"/>
      </w:rPr>
      <w:t xml:space="preserve"> </w:t>
    </w:r>
    <w:r>
      <w:rPr>
        <w:spacing w:val="-9"/>
      </w:rPr>
      <w:t>突</w:t>
    </w:r>
    <w:r>
      <w:rPr>
        <w:spacing w:val="25"/>
      </w:rPr>
      <w:t xml:space="preserve"> </w:t>
    </w:r>
    <w:r>
      <w:rPr>
        <w:spacing w:val="-9"/>
      </w:rPr>
      <w:t>专</w:t>
    </w:r>
    <w:r>
      <w:rPr>
        <w:spacing w:val="27"/>
      </w:rPr>
      <w:t xml:space="preserve"> </w:t>
    </w:r>
    <w:r>
      <w:rPr>
        <w:spacing w:val="-9"/>
      </w:rPr>
      <w:t>项</w:t>
    </w:r>
    <w:r>
      <w:rPr>
        <w:spacing w:val="27"/>
      </w:rPr>
      <w:t xml:space="preserve"> </w:t>
    </w:r>
    <w:r>
      <w:rPr>
        <w:spacing w:val="-9"/>
      </w:rPr>
      <w:t>设</w:t>
    </w:r>
    <w:r>
      <w:rPr>
        <w:spacing w:val="24"/>
      </w:rPr>
      <w:t xml:space="preserve"> </w:t>
    </w:r>
    <w:r>
      <w:rPr>
        <w:spacing w:val="-9"/>
      </w:rPr>
      <w:t>计</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Sun" w:hAnsi="SimSun" w:eastAsia="SimSun" w:cs="SimSun"/>
      <w:sz w:val="19"/>
      <w:szCs w:val="19"/>
      <w:lang w:val="en-US" w:eastAsia="en-US" w:bidi="ar-SA"/>
    </w:rPr>
  </w:style>
  <w:style w:type="paragraph" w:styleId="TableText">
    <w:name w:val="Table Text"/>
    <w:basedOn w:val="Normal"/>
    <w:semiHidden/>
    <w:qFormat/>
    <w:pPr/>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4.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3.xml"/><Relationship Id="rId4" Type="http://schemas.openxmlformats.org/officeDocument/2006/relationships/footer" Target="footer2.xml"/><Relationship Id="rId34" Type="http://schemas.openxmlformats.org/officeDocument/2006/relationships/fontTable" Target="fontTable.xml"/><Relationship Id="rId33" Type="http://schemas.openxmlformats.org/officeDocument/2006/relationships/styles" Target="styles.xml"/><Relationship Id="rId32" Type="http://schemas.openxmlformats.org/officeDocument/2006/relationships/settings" Target="settings.xml"/><Relationship Id="rId31" Type="http://schemas.openxmlformats.org/officeDocument/2006/relationships/footer" Target="footer17.xml"/><Relationship Id="rId30" Type="http://schemas.openxmlformats.org/officeDocument/2006/relationships/header" Target="header14.xml"/><Relationship Id="rId3" Type="http://schemas.openxmlformats.org/officeDocument/2006/relationships/header" Target="header2.xml"/><Relationship Id="rId29" Type="http://schemas.openxmlformats.org/officeDocument/2006/relationships/footer" Target="footer16.xml"/><Relationship Id="rId28" Type="http://schemas.openxmlformats.org/officeDocument/2006/relationships/header" Target="header13.xml"/><Relationship Id="rId27" Type="http://schemas.openxmlformats.org/officeDocument/2006/relationships/footer" Target="footer15.xml"/><Relationship Id="rId26" Type="http://schemas.openxmlformats.org/officeDocument/2006/relationships/header" Target="header12.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11.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header" Target="header10.xml"/><Relationship Id="rId2" Type="http://schemas.openxmlformats.org/officeDocument/2006/relationships/footer" Target="footer1.xml"/><Relationship Id="rId19" Type="http://schemas.openxmlformats.org/officeDocument/2006/relationships/footer" Target="footer10.xml"/><Relationship Id="rId18" Type="http://schemas.openxmlformats.org/officeDocument/2006/relationships/header" Target="header9.xml"/><Relationship Id="rId17" Type="http://schemas.openxmlformats.org/officeDocument/2006/relationships/footer" Target="footer9.xml"/><Relationship Id="rId16" Type="http://schemas.openxmlformats.org/officeDocument/2006/relationships/header" Target="header8.xml"/><Relationship Id="rId15" Type="http://schemas.openxmlformats.org/officeDocument/2006/relationships/footer" Target="footer8.xml"/><Relationship Id="rId14" Type="http://schemas.openxmlformats.org/officeDocument/2006/relationships/header" Target="header7.xml"/><Relationship Id="rId13" Type="http://schemas.openxmlformats.org/officeDocument/2006/relationships/footer" Target="footer7.xml"/><Relationship Id="rId12" Type="http://schemas.openxmlformats.org/officeDocument/2006/relationships/header" Target="header6.xml"/><Relationship Id="rId11" Type="http://schemas.openxmlformats.org/officeDocument/2006/relationships/footer" Target="footer6.xml"/><Relationship Id="rId10" Type="http://schemas.openxmlformats.org/officeDocument/2006/relationships/header" Target="header5.xml"/><Relationship Id="rId1"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2023-12-13T15:42:32Z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2023-12-13T15:42:34</vt:filetime>
  </property>
  <property fmtid="{D5CDD505-2E9C-101B-9397-08002B2CF9AE}" pid="4" name="UsrData">
    <vt:lpwstr>6579606472a3fa001fc31cefwl</vt:lpwstr>
  </property>
</Properties>
</file>